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24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794"/>
        <w:gridCol w:w="6150"/>
        <w:gridCol w:w="3878"/>
      </w:tblGrid>
      <w:tr w:rsidR="00907024" w:rsidTr="00907024">
        <w:tc>
          <w:tcPr>
            <w:tcW w:w="2568" w:type="dxa"/>
            <w:shd w:val="clear" w:color="auto" w:fill="D9D9D9"/>
          </w:tcPr>
          <w:p w:rsidR="00907024" w:rsidRDefault="00907024" w:rsidP="00907024">
            <w:pPr>
              <w:jc w:val="center"/>
              <w:rPr>
                <w:b/>
              </w:rPr>
            </w:pPr>
            <w:bookmarkStart w:id="0" w:name="_GoBack"/>
            <w:bookmarkEnd w:id="0"/>
            <w:r>
              <w:rPr>
                <w:b/>
              </w:rPr>
              <w:t>TOPIC</w:t>
            </w:r>
          </w:p>
        </w:tc>
        <w:tc>
          <w:tcPr>
            <w:tcW w:w="1794" w:type="dxa"/>
            <w:shd w:val="clear" w:color="auto" w:fill="D9D9D9"/>
          </w:tcPr>
          <w:p w:rsidR="00907024" w:rsidRDefault="00907024" w:rsidP="00907024">
            <w:pPr>
              <w:jc w:val="center"/>
              <w:rPr>
                <w:b/>
              </w:rPr>
            </w:pPr>
            <w:r>
              <w:rPr>
                <w:b/>
              </w:rPr>
              <w:t>PRESENTER</w:t>
            </w:r>
          </w:p>
        </w:tc>
        <w:tc>
          <w:tcPr>
            <w:tcW w:w="6150" w:type="dxa"/>
            <w:shd w:val="clear" w:color="auto" w:fill="D9D9D9"/>
          </w:tcPr>
          <w:p w:rsidR="00907024" w:rsidRDefault="00907024" w:rsidP="00907024">
            <w:pPr>
              <w:jc w:val="center"/>
              <w:rPr>
                <w:b/>
              </w:rPr>
            </w:pPr>
            <w:r>
              <w:rPr>
                <w:b/>
              </w:rPr>
              <w:t>DISCUSSION</w:t>
            </w:r>
          </w:p>
        </w:tc>
        <w:tc>
          <w:tcPr>
            <w:tcW w:w="3878" w:type="dxa"/>
            <w:shd w:val="clear" w:color="auto" w:fill="D9D9D9"/>
          </w:tcPr>
          <w:p w:rsidR="00907024" w:rsidRDefault="00907024" w:rsidP="00907024">
            <w:pPr>
              <w:jc w:val="center"/>
              <w:rPr>
                <w:b/>
              </w:rPr>
            </w:pPr>
            <w:r>
              <w:rPr>
                <w:b/>
              </w:rPr>
              <w:t>ACTION/ASSIGNMENT</w:t>
            </w:r>
          </w:p>
        </w:tc>
      </w:tr>
      <w:tr w:rsidR="00907024" w:rsidTr="00907024">
        <w:tc>
          <w:tcPr>
            <w:tcW w:w="2568" w:type="dxa"/>
          </w:tcPr>
          <w:p w:rsidR="00907024" w:rsidRDefault="00907024" w:rsidP="00907024">
            <w:r>
              <w:t>1. Call to Order</w:t>
            </w:r>
          </w:p>
        </w:tc>
        <w:tc>
          <w:tcPr>
            <w:tcW w:w="1794" w:type="dxa"/>
          </w:tcPr>
          <w:p w:rsidR="00907024" w:rsidRDefault="00907024" w:rsidP="00907024">
            <w:r>
              <w:t>Tracy Lanier</w:t>
            </w:r>
          </w:p>
        </w:tc>
        <w:tc>
          <w:tcPr>
            <w:tcW w:w="6150" w:type="dxa"/>
          </w:tcPr>
          <w:p w:rsidR="00907024" w:rsidRDefault="00907024" w:rsidP="00907024">
            <w:r>
              <w:t>TIME: 1315</w:t>
            </w:r>
          </w:p>
        </w:tc>
        <w:tc>
          <w:tcPr>
            <w:tcW w:w="3878" w:type="dxa"/>
          </w:tcPr>
          <w:p w:rsidR="00907024" w:rsidRDefault="00907024" w:rsidP="00907024"/>
        </w:tc>
      </w:tr>
      <w:tr w:rsidR="00907024" w:rsidTr="00907024">
        <w:tc>
          <w:tcPr>
            <w:tcW w:w="2568" w:type="dxa"/>
          </w:tcPr>
          <w:p w:rsidR="00907024" w:rsidRDefault="00907024" w:rsidP="00907024">
            <w:r>
              <w:t>2. Minutes</w:t>
            </w:r>
          </w:p>
        </w:tc>
        <w:tc>
          <w:tcPr>
            <w:tcW w:w="1794" w:type="dxa"/>
          </w:tcPr>
          <w:p w:rsidR="00907024" w:rsidRDefault="00907024" w:rsidP="00907024">
            <w:r>
              <w:t>Group</w:t>
            </w:r>
          </w:p>
        </w:tc>
        <w:tc>
          <w:tcPr>
            <w:tcW w:w="6150" w:type="dxa"/>
          </w:tcPr>
          <w:p w:rsidR="00907024" w:rsidRDefault="00907024" w:rsidP="00907024">
            <w:r>
              <w:t>Approved with one correction</w:t>
            </w:r>
          </w:p>
        </w:tc>
        <w:tc>
          <w:tcPr>
            <w:tcW w:w="3878" w:type="dxa"/>
          </w:tcPr>
          <w:p w:rsidR="00907024" w:rsidRDefault="00907024" w:rsidP="00907024">
            <w:r>
              <w:t>Correction sent out to members</w:t>
            </w:r>
          </w:p>
        </w:tc>
      </w:tr>
      <w:tr w:rsidR="00907024" w:rsidTr="00907024">
        <w:tc>
          <w:tcPr>
            <w:tcW w:w="2568" w:type="dxa"/>
          </w:tcPr>
          <w:p w:rsidR="00907024" w:rsidRDefault="00907024" w:rsidP="00907024">
            <w:r>
              <w:t>3. Recognition/Introductions</w:t>
            </w:r>
          </w:p>
        </w:tc>
        <w:tc>
          <w:tcPr>
            <w:tcW w:w="1794" w:type="dxa"/>
          </w:tcPr>
          <w:p w:rsidR="00907024" w:rsidRDefault="00907024" w:rsidP="00907024">
            <w:r>
              <w:t>Group</w:t>
            </w:r>
          </w:p>
          <w:p w:rsidR="00907024" w:rsidRDefault="00907024" w:rsidP="00907024">
            <w:r>
              <w:t>Tracy</w:t>
            </w:r>
          </w:p>
        </w:tc>
        <w:tc>
          <w:tcPr>
            <w:tcW w:w="6150" w:type="dxa"/>
          </w:tcPr>
          <w:p w:rsidR="00907024" w:rsidRDefault="00907024" w:rsidP="00907024">
            <w:r>
              <w:t>Jane from CDPH: will be in HAI program, ASP and epi for California</w:t>
            </w:r>
          </w:p>
          <w:p w:rsidR="00907024" w:rsidRDefault="00907024" w:rsidP="00907024">
            <w:r>
              <w:t>Listed SDIC board members, thanked all who worked in 2019 for their efforts</w:t>
            </w:r>
          </w:p>
          <w:p w:rsidR="00907024" w:rsidRDefault="00907024" w:rsidP="00907024">
            <w:r>
              <w:t>Goals for 2019 were all met. 5% increase in members, LTC conference, Ronald McDonald House charity, Community Service, Annual conference, and Fisher House toiletry collection (still ongoing)</w:t>
            </w:r>
          </w:p>
          <w:p w:rsidR="006F75AC" w:rsidRPr="006F75AC" w:rsidRDefault="006F75AC" w:rsidP="00907024">
            <w:r w:rsidRPr="006F75AC">
              <w:rPr>
                <w:bCs/>
              </w:rPr>
              <w:t xml:space="preserve">Jane </w:t>
            </w:r>
            <w:proofErr w:type="spellStart"/>
            <w:r w:rsidRPr="006F75AC">
              <w:rPr>
                <w:bCs/>
              </w:rPr>
              <w:t>Kriengkauykiat</w:t>
            </w:r>
            <w:proofErr w:type="spellEnd"/>
            <w:r w:rsidRPr="006F75AC">
              <w:rPr>
                <w:bCs/>
              </w:rPr>
              <w:t xml:space="preserve">, </w:t>
            </w:r>
            <w:proofErr w:type="spellStart"/>
            <w:r w:rsidRPr="006F75AC">
              <w:rPr>
                <w:bCs/>
              </w:rPr>
              <w:t>PharmD</w:t>
            </w:r>
            <w:proofErr w:type="spellEnd"/>
            <w:r w:rsidRPr="006F75AC">
              <w:rPr>
                <w:bCs/>
              </w:rPr>
              <w:t xml:space="preserve"> introduced as new CDPH Pharmacist. She will be the CDPH HAI Program’s ASP resource person for California. She is located in San Diego County</w:t>
            </w:r>
            <w:r>
              <w:rPr>
                <w:bCs/>
              </w:rPr>
              <w:t>.</w:t>
            </w:r>
          </w:p>
        </w:tc>
        <w:tc>
          <w:tcPr>
            <w:tcW w:w="3878" w:type="dxa"/>
          </w:tcPr>
          <w:p w:rsidR="00907024" w:rsidRDefault="00907024" w:rsidP="00907024">
            <w:r>
              <w:t xml:space="preserve">Fisher House toiletry collection will be available at the holiday party for those who would like to contribute. </w:t>
            </w:r>
          </w:p>
        </w:tc>
      </w:tr>
      <w:tr w:rsidR="00907024" w:rsidTr="00907024">
        <w:tc>
          <w:tcPr>
            <w:tcW w:w="2568" w:type="dxa"/>
          </w:tcPr>
          <w:p w:rsidR="00907024" w:rsidRDefault="00907024" w:rsidP="00907024">
            <w:r>
              <w:t>4. Unfinished Business</w:t>
            </w:r>
          </w:p>
        </w:tc>
        <w:tc>
          <w:tcPr>
            <w:tcW w:w="1794" w:type="dxa"/>
          </w:tcPr>
          <w:p w:rsidR="00907024" w:rsidRDefault="00907024" w:rsidP="00907024">
            <w:r>
              <w:t>Tracy</w:t>
            </w:r>
          </w:p>
        </w:tc>
        <w:tc>
          <w:tcPr>
            <w:tcW w:w="6150" w:type="dxa"/>
          </w:tcPr>
          <w:p w:rsidR="00907024" w:rsidRDefault="00907024" w:rsidP="00907024">
            <w:r>
              <w:t>Mentorship opportunities to help grow new IPs and recruitment of chapter members are upcoming.</w:t>
            </w:r>
          </w:p>
        </w:tc>
        <w:tc>
          <w:tcPr>
            <w:tcW w:w="3878" w:type="dxa"/>
          </w:tcPr>
          <w:p w:rsidR="00907024" w:rsidRDefault="00907024" w:rsidP="00907024">
            <w:r>
              <w:t xml:space="preserve">Need ideas for next year. </w:t>
            </w:r>
          </w:p>
        </w:tc>
      </w:tr>
      <w:tr w:rsidR="00907024" w:rsidTr="00907024">
        <w:tc>
          <w:tcPr>
            <w:tcW w:w="2568" w:type="dxa"/>
          </w:tcPr>
          <w:p w:rsidR="00907024" w:rsidRDefault="00907024" w:rsidP="00907024">
            <w:r>
              <w:t>5. New Business</w:t>
            </w:r>
          </w:p>
          <w:p w:rsidR="00907024" w:rsidRDefault="00907024" w:rsidP="00907024"/>
          <w:p w:rsidR="00907024" w:rsidRDefault="00907024" w:rsidP="00907024"/>
          <w:p w:rsidR="00907024" w:rsidRDefault="00907024" w:rsidP="00907024"/>
        </w:tc>
        <w:tc>
          <w:tcPr>
            <w:tcW w:w="1794" w:type="dxa"/>
          </w:tcPr>
          <w:p w:rsidR="00907024" w:rsidRDefault="00907024" w:rsidP="00907024">
            <w:r>
              <w:t>Tracy</w:t>
            </w:r>
          </w:p>
          <w:p w:rsidR="00907024" w:rsidRDefault="00907024" w:rsidP="00907024">
            <w:r>
              <w:t>Lisa Kilgore</w:t>
            </w:r>
          </w:p>
        </w:tc>
        <w:tc>
          <w:tcPr>
            <w:tcW w:w="6150" w:type="dxa"/>
          </w:tcPr>
          <w:p w:rsidR="00907024" w:rsidRDefault="00907024" w:rsidP="00907024">
            <w:r>
              <w:t xml:space="preserve">2 APIC chapters closed in California. Members who wished to attend chapter meetings were directed to other chapters nearby. </w:t>
            </w:r>
          </w:p>
          <w:p w:rsidR="00907024" w:rsidRDefault="00907024" w:rsidP="00907024"/>
        </w:tc>
        <w:tc>
          <w:tcPr>
            <w:tcW w:w="3878" w:type="dxa"/>
          </w:tcPr>
          <w:p w:rsidR="00907024" w:rsidRDefault="008D2197" w:rsidP="00907024">
            <w:r>
              <w:t>Information only.</w:t>
            </w:r>
          </w:p>
        </w:tc>
      </w:tr>
      <w:tr w:rsidR="00907024" w:rsidTr="00907024">
        <w:tc>
          <w:tcPr>
            <w:tcW w:w="2568" w:type="dxa"/>
          </w:tcPr>
          <w:p w:rsidR="00907024" w:rsidRDefault="00907024" w:rsidP="00907024">
            <w:r>
              <w:t xml:space="preserve">6. Treasurer’s Report </w:t>
            </w:r>
          </w:p>
        </w:tc>
        <w:tc>
          <w:tcPr>
            <w:tcW w:w="1794" w:type="dxa"/>
          </w:tcPr>
          <w:p w:rsidR="00907024" w:rsidRDefault="00907024" w:rsidP="00907024">
            <w:r>
              <w:t>Tracy for Megan Medina</w:t>
            </w:r>
          </w:p>
        </w:tc>
        <w:tc>
          <w:tcPr>
            <w:tcW w:w="6150" w:type="dxa"/>
          </w:tcPr>
          <w:p w:rsidR="00907024" w:rsidRDefault="00907024" w:rsidP="00907024">
            <w:r>
              <w:t xml:space="preserve"> Report attached. Chapter is doing very well. Joint venture for annual conference went well. Profit from annual conference: SDIC $6656.90, IE $4297.46. </w:t>
            </w:r>
          </w:p>
        </w:tc>
        <w:tc>
          <w:tcPr>
            <w:tcW w:w="3878" w:type="dxa"/>
          </w:tcPr>
          <w:p w:rsidR="00907024" w:rsidRDefault="00907024" w:rsidP="00907024">
            <w:r>
              <w:t xml:space="preserve">May have to adjust scholarships to keep amount &lt; $600 (see CACC report, below) for next year. </w:t>
            </w:r>
          </w:p>
        </w:tc>
      </w:tr>
      <w:tr w:rsidR="00907024" w:rsidTr="00907024">
        <w:tc>
          <w:tcPr>
            <w:tcW w:w="2568" w:type="dxa"/>
          </w:tcPr>
          <w:p w:rsidR="00907024" w:rsidRDefault="00907024" w:rsidP="00907024">
            <w:r>
              <w:t>7. Education Report</w:t>
            </w:r>
          </w:p>
        </w:tc>
        <w:tc>
          <w:tcPr>
            <w:tcW w:w="1794" w:type="dxa"/>
          </w:tcPr>
          <w:p w:rsidR="00907024" w:rsidRDefault="00907024" w:rsidP="00907024">
            <w:r>
              <w:t>Jarrod Becasen</w:t>
            </w:r>
          </w:p>
          <w:p w:rsidR="00907024" w:rsidRDefault="00907024" w:rsidP="00907024">
            <w:r>
              <w:t>Will Cardona</w:t>
            </w:r>
          </w:p>
        </w:tc>
        <w:tc>
          <w:tcPr>
            <w:tcW w:w="6150" w:type="dxa"/>
          </w:tcPr>
          <w:p w:rsidR="00907024" w:rsidRDefault="00907024" w:rsidP="00907024">
            <w:r>
              <w:t xml:space="preserve"> Jarrod could not attend today’s meeting. Will presented annual conference information/joint venture with Inland Empire:</w:t>
            </w:r>
          </w:p>
          <w:p w:rsidR="00907024" w:rsidRDefault="00907024" w:rsidP="00907024">
            <w:r>
              <w:t xml:space="preserve">Challenges: new site caused some confusion, profit margin less than previous years, book costs and mimosa bar not covered (initially). Vendor stepped in at the last minute (Clorox and </w:t>
            </w:r>
            <w:proofErr w:type="spellStart"/>
            <w:r>
              <w:t>Nozin</w:t>
            </w:r>
            <w:proofErr w:type="spellEnd"/>
            <w:r>
              <w:t>) and covered mimosa bar but books were not</w:t>
            </w:r>
            <w:r w:rsidR="008D2197">
              <w:t>,</w:t>
            </w:r>
            <w:r>
              <w:t xml:space="preserve"> which decreased profit margin. </w:t>
            </w:r>
          </w:p>
          <w:p w:rsidR="00907024" w:rsidRDefault="00907024" w:rsidP="00907024">
            <w:r>
              <w:t xml:space="preserve">Pluses: Speakers were excellent. New location was excellent. Less stress with a joint venture, other chapter members helped offset challenges and offered more resources. </w:t>
            </w:r>
          </w:p>
          <w:p w:rsidR="00907024" w:rsidRDefault="00907024" w:rsidP="00907024">
            <w:r>
              <w:t xml:space="preserve">Next year 2020 annual conference will again be joint venture with IE at South Coast Winery, the last Friday in September, has already been booked. </w:t>
            </w:r>
          </w:p>
        </w:tc>
        <w:tc>
          <w:tcPr>
            <w:tcW w:w="3878" w:type="dxa"/>
          </w:tcPr>
          <w:p w:rsidR="00907024" w:rsidRDefault="008D2197" w:rsidP="00907024">
            <w:r>
              <w:t xml:space="preserve">Education board members will pass along information with updates at next business meeting in 2020. </w:t>
            </w:r>
          </w:p>
        </w:tc>
      </w:tr>
      <w:tr w:rsidR="00907024" w:rsidTr="00907024">
        <w:tc>
          <w:tcPr>
            <w:tcW w:w="2568" w:type="dxa"/>
          </w:tcPr>
          <w:p w:rsidR="00907024" w:rsidRDefault="00907024" w:rsidP="00907024">
            <w:r>
              <w:lastRenderedPageBreak/>
              <w:t>8. Social Committee</w:t>
            </w:r>
          </w:p>
        </w:tc>
        <w:tc>
          <w:tcPr>
            <w:tcW w:w="1794" w:type="dxa"/>
          </w:tcPr>
          <w:p w:rsidR="00907024" w:rsidRDefault="00907024" w:rsidP="00907024">
            <w:r>
              <w:t>Debbie Wightman- Chair</w:t>
            </w:r>
          </w:p>
          <w:p w:rsidR="00907024" w:rsidRDefault="00907024" w:rsidP="00907024">
            <w:r>
              <w:t>Sheri Morgan</w:t>
            </w:r>
          </w:p>
          <w:p w:rsidR="00907024" w:rsidRDefault="00907024" w:rsidP="00907024">
            <w:r>
              <w:t xml:space="preserve">Priscila </w:t>
            </w:r>
            <w:proofErr w:type="spellStart"/>
            <w:r>
              <w:t>DeVera</w:t>
            </w:r>
            <w:proofErr w:type="spellEnd"/>
          </w:p>
        </w:tc>
        <w:tc>
          <w:tcPr>
            <w:tcW w:w="6150" w:type="dxa"/>
          </w:tcPr>
          <w:p w:rsidR="00907024" w:rsidRDefault="00907024" w:rsidP="00907024">
            <w:r>
              <w:t xml:space="preserve"> Holiday Party is December 11</w:t>
            </w:r>
            <w:r w:rsidRPr="00C21EA9">
              <w:rPr>
                <w:vertAlign w:val="superscript"/>
              </w:rPr>
              <w:t>th</w:t>
            </w:r>
            <w:r>
              <w:t xml:space="preserve"> </w:t>
            </w:r>
            <w:r w:rsidR="005C5F7C">
              <w:t xml:space="preserve">2019 </w:t>
            </w:r>
            <w:r>
              <w:t xml:space="preserve">at </w:t>
            </w:r>
            <w:proofErr w:type="spellStart"/>
            <w:r>
              <w:t>Baci’s</w:t>
            </w:r>
            <w:proofErr w:type="spellEnd"/>
            <w:r w:rsidR="005C5F7C">
              <w:t xml:space="preserve"> restaurant</w:t>
            </w:r>
            <w:r>
              <w:t>. Charity fu</w:t>
            </w:r>
            <w:r w:rsidR="005C5F7C">
              <w:t>nd raiser for Becky’s House – YW</w:t>
            </w:r>
            <w:r>
              <w:t>CA. RSVP to Deb Wightman by December 5</w:t>
            </w:r>
            <w:r w:rsidRPr="00C42577">
              <w:rPr>
                <w:vertAlign w:val="superscript"/>
              </w:rPr>
              <w:t>th</w:t>
            </w:r>
            <w:r>
              <w:t xml:space="preserve">. </w:t>
            </w:r>
          </w:p>
        </w:tc>
        <w:tc>
          <w:tcPr>
            <w:tcW w:w="3878" w:type="dxa"/>
          </w:tcPr>
          <w:p w:rsidR="00907024" w:rsidRPr="00C21EA9" w:rsidRDefault="00907024" w:rsidP="00907024">
            <w:r>
              <w:t>Holiday flyer will be resent to remind those who wish to attend.</w:t>
            </w:r>
          </w:p>
          <w:p w:rsidR="00907024" w:rsidRDefault="00907024" w:rsidP="00907024"/>
        </w:tc>
      </w:tr>
      <w:tr w:rsidR="00907024" w:rsidTr="00907024">
        <w:tc>
          <w:tcPr>
            <w:tcW w:w="2568" w:type="dxa"/>
          </w:tcPr>
          <w:p w:rsidR="00907024" w:rsidRDefault="00907024" w:rsidP="00907024">
            <w:r>
              <w:t>9. Membership</w:t>
            </w:r>
          </w:p>
        </w:tc>
        <w:tc>
          <w:tcPr>
            <w:tcW w:w="1794" w:type="dxa"/>
          </w:tcPr>
          <w:p w:rsidR="00907024" w:rsidRDefault="00907024" w:rsidP="00907024">
            <w:r>
              <w:t>Charlyne Neder</w:t>
            </w:r>
          </w:p>
        </w:tc>
        <w:tc>
          <w:tcPr>
            <w:tcW w:w="6150" w:type="dxa"/>
          </w:tcPr>
          <w:p w:rsidR="00907024" w:rsidRDefault="00907024" w:rsidP="00907024">
            <w:r>
              <w:t>128 members as of 11/3</w:t>
            </w:r>
            <w:r w:rsidR="00BF79CF">
              <w:t>/2019</w:t>
            </w:r>
          </w:p>
          <w:p w:rsidR="00907024" w:rsidRDefault="00907024" w:rsidP="00907024">
            <w:r>
              <w:t>49 CICs (uptick may be due to members updating their profile in APIC)</w:t>
            </w:r>
          </w:p>
          <w:p w:rsidR="00907024" w:rsidRDefault="00907024" w:rsidP="00907024">
            <w:r>
              <w:t>4 lapsed members, 1 was a CIC</w:t>
            </w:r>
          </w:p>
          <w:p w:rsidR="00907024" w:rsidRDefault="00907024" w:rsidP="00907024">
            <w:r>
              <w:t xml:space="preserve">Char offered to develop a member contact list and distribute it so other members can contact. </w:t>
            </w:r>
          </w:p>
        </w:tc>
        <w:tc>
          <w:tcPr>
            <w:tcW w:w="3878" w:type="dxa"/>
          </w:tcPr>
          <w:p w:rsidR="00907024" w:rsidRDefault="00907024" w:rsidP="00907024">
            <w:r>
              <w:t xml:space="preserve">Char will update contact information and send out once completed. </w:t>
            </w:r>
          </w:p>
        </w:tc>
      </w:tr>
      <w:tr w:rsidR="00907024" w:rsidTr="00907024">
        <w:tc>
          <w:tcPr>
            <w:tcW w:w="2568" w:type="dxa"/>
            <w:tcBorders>
              <w:bottom w:val="single" w:sz="4" w:space="0" w:color="000000"/>
            </w:tcBorders>
          </w:tcPr>
          <w:p w:rsidR="00907024" w:rsidRDefault="00907024" w:rsidP="00907024">
            <w:r>
              <w:t>10. Nomination Committee</w:t>
            </w:r>
          </w:p>
        </w:tc>
        <w:tc>
          <w:tcPr>
            <w:tcW w:w="1794" w:type="dxa"/>
            <w:tcBorders>
              <w:bottom w:val="single" w:sz="4" w:space="0" w:color="000000"/>
            </w:tcBorders>
          </w:tcPr>
          <w:p w:rsidR="00907024" w:rsidRDefault="00907024" w:rsidP="00907024">
            <w:r>
              <w:t>Lisa Mattia</w:t>
            </w:r>
          </w:p>
          <w:p w:rsidR="00907024" w:rsidRDefault="00907024" w:rsidP="00907024">
            <w:r>
              <w:t>Liz Holston</w:t>
            </w:r>
          </w:p>
        </w:tc>
        <w:tc>
          <w:tcPr>
            <w:tcW w:w="6150" w:type="dxa"/>
            <w:tcBorders>
              <w:bottom w:val="single" w:sz="4" w:space="0" w:color="000000"/>
            </w:tcBorders>
          </w:tcPr>
          <w:p w:rsidR="00907024" w:rsidRDefault="00907024" w:rsidP="00907024">
            <w:r>
              <w:t>SDIC 2019 Election: Ballot will go out next Monday. Application for board positions is now closed. Thanked those who applied for positions. Those who are on the ballot who do not get elected will be asked to assist.</w:t>
            </w:r>
          </w:p>
          <w:p w:rsidR="00907024" w:rsidRPr="00C42577" w:rsidRDefault="00907024" w:rsidP="00907024">
            <w:pPr>
              <w:rPr>
                <w:i/>
              </w:rPr>
            </w:pPr>
            <w:r>
              <w:rPr>
                <w:i/>
              </w:rPr>
              <w:t xml:space="preserve">NOTE: </w:t>
            </w:r>
            <w:r w:rsidRPr="00C42577">
              <w:rPr>
                <w:i/>
              </w:rPr>
              <w:t>Will need to make sure the CACC election and SDIC election information are clear to let members know there are 2 separate elections (see CACC meeting notes, below).</w:t>
            </w:r>
          </w:p>
        </w:tc>
        <w:tc>
          <w:tcPr>
            <w:tcW w:w="3878" w:type="dxa"/>
            <w:tcBorders>
              <w:bottom w:val="single" w:sz="4" w:space="0" w:color="000000"/>
            </w:tcBorders>
          </w:tcPr>
          <w:p w:rsidR="00907024" w:rsidRDefault="00907024" w:rsidP="00907024">
            <w:r>
              <w:t>Ballot to be emailed out next week 11/18/19.</w:t>
            </w:r>
          </w:p>
          <w:p w:rsidR="00907024" w:rsidRDefault="00907024" w:rsidP="00907024">
            <w:r>
              <w:t>Those elected are welcome to attend the SDIC board meeting on December 4</w:t>
            </w:r>
            <w:r w:rsidRPr="003A52D8">
              <w:rPr>
                <w:vertAlign w:val="superscript"/>
              </w:rPr>
              <w:t>th</w:t>
            </w:r>
            <w:r>
              <w:t xml:space="preserve">. Will send information to those elected as to where and when the board meeting will take place, once count is final. </w:t>
            </w:r>
          </w:p>
        </w:tc>
      </w:tr>
      <w:tr w:rsidR="00907024" w:rsidTr="00907024">
        <w:tc>
          <w:tcPr>
            <w:tcW w:w="2568" w:type="dxa"/>
            <w:tcBorders>
              <w:top w:val="single" w:sz="4" w:space="0" w:color="000000"/>
              <w:left w:val="single" w:sz="4" w:space="0" w:color="000000"/>
            </w:tcBorders>
          </w:tcPr>
          <w:p w:rsidR="00907024" w:rsidRDefault="00907024" w:rsidP="00907024">
            <w:pPr>
              <w:rPr>
                <w:b/>
              </w:rPr>
            </w:pPr>
            <w:r>
              <w:t xml:space="preserve">                       </w:t>
            </w:r>
            <w:r>
              <w:rPr>
                <w:b/>
              </w:rPr>
              <w:t>11. Updates</w:t>
            </w:r>
          </w:p>
        </w:tc>
        <w:tc>
          <w:tcPr>
            <w:tcW w:w="1794" w:type="dxa"/>
            <w:tcBorders>
              <w:top w:val="single" w:sz="4" w:space="0" w:color="000000"/>
            </w:tcBorders>
            <w:shd w:val="clear" w:color="auto" w:fill="999999"/>
          </w:tcPr>
          <w:p w:rsidR="00907024" w:rsidRDefault="00907024" w:rsidP="00907024"/>
        </w:tc>
        <w:tc>
          <w:tcPr>
            <w:tcW w:w="6150" w:type="dxa"/>
            <w:tcBorders>
              <w:top w:val="single" w:sz="4" w:space="0" w:color="000000"/>
            </w:tcBorders>
            <w:shd w:val="clear" w:color="auto" w:fill="999999"/>
          </w:tcPr>
          <w:p w:rsidR="00907024" w:rsidRDefault="00907024" w:rsidP="00907024"/>
          <w:p w:rsidR="00907024" w:rsidRDefault="00907024" w:rsidP="00907024"/>
        </w:tc>
        <w:tc>
          <w:tcPr>
            <w:tcW w:w="3878" w:type="dxa"/>
            <w:tcBorders>
              <w:top w:val="single" w:sz="4" w:space="0" w:color="000000"/>
              <w:right w:val="single" w:sz="4" w:space="0" w:color="000000"/>
            </w:tcBorders>
            <w:shd w:val="clear" w:color="auto" w:fill="999999"/>
          </w:tcPr>
          <w:p w:rsidR="00907024" w:rsidRDefault="00907024" w:rsidP="00907024"/>
        </w:tc>
      </w:tr>
      <w:tr w:rsidR="00907024" w:rsidTr="00907024">
        <w:tc>
          <w:tcPr>
            <w:tcW w:w="2568" w:type="dxa"/>
            <w:tcBorders>
              <w:left w:val="single" w:sz="4" w:space="0" w:color="000000"/>
            </w:tcBorders>
          </w:tcPr>
          <w:p w:rsidR="00907024" w:rsidRDefault="00907024" w:rsidP="00907024">
            <w:r>
              <w:t xml:space="preserve">   11.1 CACC Basic Foundations Course</w:t>
            </w:r>
          </w:p>
          <w:p w:rsidR="00907024" w:rsidRDefault="00907024" w:rsidP="00907024"/>
        </w:tc>
        <w:tc>
          <w:tcPr>
            <w:tcW w:w="1794" w:type="dxa"/>
          </w:tcPr>
          <w:p w:rsidR="00907024" w:rsidRDefault="00907024" w:rsidP="00907024">
            <w:r>
              <w:t>Lisa Kilgore</w:t>
            </w:r>
          </w:p>
        </w:tc>
        <w:tc>
          <w:tcPr>
            <w:tcW w:w="6150" w:type="dxa"/>
          </w:tcPr>
          <w:p w:rsidR="00907024" w:rsidRDefault="00907024" w:rsidP="00907024">
            <w:r>
              <w:t>Next Foundations course is October 15 – 18</w:t>
            </w:r>
            <w:r w:rsidRPr="00C21EA9">
              <w:rPr>
                <w:vertAlign w:val="superscript"/>
              </w:rPr>
              <w:t>th</w:t>
            </w:r>
            <w:r>
              <w:t xml:space="preserve"> </w:t>
            </w:r>
            <w:r w:rsidR="00BF79CF">
              <w:t xml:space="preserve">2020, </w:t>
            </w:r>
            <w:r>
              <w:t>in Ontario</w:t>
            </w:r>
            <w:r w:rsidR="00BF79CF">
              <w:t xml:space="preserve"> CA for new IPs</w:t>
            </w:r>
            <w:r>
              <w:t xml:space="preserve">. </w:t>
            </w:r>
          </w:p>
        </w:tc>
        <w:tc>
          <w:tcPr>
            <w:tcW w:w="3878" w:type="dxa"/>
            <w:tcBorders>
              <w:right w:val="single" w:sz="4" w:space="0" w:color="000000"/>
            </w:tcBorders>
          </w:tcPr>
          <w:p w:rsidR="00907024" w:rsidRDefault="00BF79CF" w:rsidP="00907024">
            <w:r>
              <w:t>Will get updates from CACC representative to pass along to members.</w:t>
            </w:r>
          </w:p>
        </w:tc>
      </w:tr>
      <w:tr w:rsidR="00907024" w:rsidTr="00907024">
        <w:tc>
          <w:tcPr>
            <w:tcW w:w="2568" w:type="dxa"/>
            <w:tcBorders>
              <w:left w:val="single" w:sz="4" w:space="0" w:color="000000"/>
            </w:tcBorders>
          </w:tcPr>
          <w:p w:rsidR="00907024" w:rsidRDefault="00907024" w:rsidP="00907024">
            <w:r>
              <w:t xml:space="preserve">   11.2 CACC Meeting</w:t>
            </w:r>
          </w:p>
          <w:p w:rsidR="00907024" w:rsidRDefault="00907024" w:rsidP="00907024"/>
        </w:tc>
        <w:tc>
          <w:tcPr>
            <w:tcW w:w="1794" w:type="dxa"/>
          </w:tcPr>
          <w:p w:rsidR="00907024" w:rsidRDefault="00907024" w:rsidP="00907024">
            <w:r>
              <w:t>Lisa Kilgore</w:t>
            </w:r>
          </w:p>
        </w:tc>
        <w:tc>
          <w:tcPr>
            <w:tcW w:w="6150" w:type="dxa"/>
          </w:tcPr>
          <w:p w:rsidR="00907024" w:rsidRDefault="00907024" w:rsidP="00907024">
            <w:r>
              <w:t xml:space="preserve">Budget was finalized. CACC will no longer cover the cost of application for CEUs through BRN, cost was increased to $750 (almost 100% increase) for 4 meetings a year. Chapter that hosts CACC will now be responsible for financial BRN application, CACC will assist that chapter with filing and paperwork. </w:t>
            </w:r>
          </w:p>
          <w:p w:rsidR="00907024" w:rsidRDefault="00907024" w:rsidP="00907024">
            <w:r>
              <w:t>Amount for travel reimbursement has been reduced as travel reimbursement &gt; $599.99 is now taxable.</w:t>
            </w:r>
          </w:p>
          <w:p w:rsidR="00907024" w:rsidRDefault="00907024" w:rsidP="00907024">
            <w:r>
              <w:t xml:space="preserve">CACC elections will also take place starting next week. President and president-elects will receive ballot which will then be forwarded to the members. This is a </w:t>
            </w:r>
            <w:proofErr w:type="spellStart"/>
            <w:r>
              <w:t>SurveyMonkey</w:t>
            </w:r>
            <w:proofErr w:type="spellEnd"/>
            <w:r>
              <w:t xml:space="preserve"> ballot. Deadline to complete ballot is 11/28/19. </w:t>
            </w:r>
          </w:p>
          <w:p w:rsidR="00907024" w:rsidRDefault="00907024" w:rsidP="00907024">
            <w:r>
              <w:t xml:space="preserve">Next CACC meetings for 2020: March 24 in Sacramento, May 15 in Orange county, August 14 in San Diego, and November 13 in San Francisco or nearby. </w:t>
            </w:r>
          </w:p>
        </w:tc>
        <w:tc>
          <w:tcPr>
            <w:tcW w:w="3878" w:type="dxa"/>
            <w:tcBorders>
              <w:right w:val="single" w:sz="4" w:space="0" w:color="000000"/>
            </w:tcBorders>
          </w:tcPr>
          <w:p w:rsidR="00907024" w:rsidRDefault="00907024" w:rsidP="00907024">
            <w:r>
              <w:t xml:space="preserve">Ballot with </w:t>
            </w:r>
            <w:proofErr w:type="spellStart"/>
            <w:r>
              <w:t>SurveyMonkey</w:t>
            </w:r>
            <w:proofErr w:type="spellEnd"/>
            <w:r>
              <w:t xml:space="preserve"> link to be sent out when received with deadline information and link to submit votes. </w:t>
            </w:r>
          </w:p>
        </w:tc>
      </w:tr>
      <w:tr w:rsidR="00907024" w:rsidTr="00907024">
        <w:tc>
          <w:tcPr>
            <w:tcW w:w="2568" w:type="dxa"/>
            <w:tcBorders>
              <w:left w:val="single" w:sz="4" w:space="0" w:color="000000"/>
            </w:tcBorders>
          </w:tcPr>
          <w:p w:rsidR="00907024" w:rsidRDefault="00907024" w:rsidP="00907024">
            <w:r>
              <w:t xml:space="preserve">   11.3 Legislative report</w:t>
            </w:r>
          </w:p>
          <w:p w:rsidR="00907024" w:rsidRDefault="00907024" w:rsidP="00907024"/>
        </w:tc>
        <w:tc>
          <w:tcPr>
            <w:tcW w:w="1794" w:type="dxa"/>
          </w:tcPr>
          <w:p w:rsidR="00907024" w:rsidRDefault="00907024" w:rsidP="00907024">
            <w:r>
              <w:t>Kerry Schultz</w:t>
            </w:r>
          </w:p>
          <w:p w:rsidR="00907024" w:rsidRDefault="00907024" w:rsidP="00907024"/>
          <w:p w:rsidR="00907024" w:rsidRDefault="00907024" w:rsidP="00907024"/>
          <w:p w:rsidR="00907024" w:rsidRDefault="00907024" w:rsidP="00907024"/>
          <w:p w:rsidR="00907024" w:rsidRDefault="00907024" w:rsidP="00907024"/>
          <w:p w:rsidR="00907024" w:rsidRDefault="00907024" w:rsidP="00907024"/>
          <w:p w:rsidR="00907024" w:rsidRDefault="00907024" w:rsidP="00907024"/>
        </w:tc>
        <w:tc>
          <w:tcPr>
            <w:tcW w:w="6150" w:type="dxa"/>
          </w:tcPr>
          <w:p w:rsidR="00907024" w:rsidRDefault="00907024" w:rsidP="00907024">
            <w:r>
              <w:t>Kerry unable to be at meeting, no report.</w:t>
            </w:r>
          </w:p>
          <w:p w:rsidR="00907024" w:rsidRDefault="00907024" w:rsidP="00907024"/>
        </w:tc>
        <w:tc>
          <w:tcPr>
            <w:tcW w:w="3878" w:type="dxa"/>
            <w:tcBorders>
              <w:right w:val="single" w:sz="4" w:space="0" w:color="000000"/>
            </w:tcBorders>
          </w:tcPr>
          <w:p w:rsidR="00907024" w:rsidRDefault="00907024" w:rsidP="00907024"/>
        </w:tc>
      </w:tr>
      <w:tr w:rsidR="00907024" w:rsidTr="00907024">
        <w:tc>
          <w:tcPr>
            <w:tcW w:w="2568" w:type="dxa"/>
            <w:tcBorders>
              <w:left w:val="single" w:sz="4" w:space="0" w:color="000000"/>
            </w:tcBorders>
          </w:tcPr>
          <w:p w:rsidR="00907024" w:rsidRDefault="00907024" w:rsidP="00907024">
            <w:r>
              <w:t>11.4 HAI Liaison report</w:t>
            </w:r>
          </w:p>
          <w:p w:rsidR="00907024" w:rsidRDefault="00907024" w:rsidP="00907024"/>
        </w:tc>
        <w:tc>
          <w:tcPr>
            <w:tcW w:w="1794" w:type="dxa"/>
          </w:tcPr>
          <w:p w:rsidR="00907024" w:rsidRDefault="00907024" w:rsidP="00907024"/>
        </w:tc>
        <w:tc>
          <w:tcPr>
            <w:tcW w:w="6150" w:type="dxa"/>
          </w:tcPr>
          <w:p w:rsidR="00907024" w:rsidRDefault="00907024" w:rsidP="00907024">
            <w:r>
              <w:t xml:space="preserve"> </w:t>
            </w:r>
            <w:r w:rsidR="008D2197">
              <w:t>No report</w:t>
            </w:r>
          </w:p>
        </w:tc>
        <w:tc>
          <w:tcPr>
            <w:tcW w:w="3878" w:type="dxa"/>
            <w:tcBorders>
              <w:right w:val="single" w:sz="4" w:space="0" w:color="000000"/>
            </w:tcBorders>
          </w:tcPr>
          <w:p w:rsidR="00907024" w:rsidRDefault="00907024" w:rsidP="00907024"/>
        </w:tc>
      </w:tr>
      <w:tr w:rsidR="00907024" w:rsidTr="00907024">
        <w:tc>
          <w:tcPr>
            <w:tcW w:w="2568" w:type="dxa"/>
            <w:tcBorders>
              <w:left w:val="single" w:sz="4" w:space="0" w:color="000000"/>
            </w:tcBorders>
          </w:tcPr>
          <w:p w:rsidR="00907024" w:rsidRDefault="00907024" w:rsidP="00907024">
            <w:r>
              <w:t>11.5 HAI Advisory report</w:t>
            </w:r>
          </w:p>
        </w:tc>
        <w:tc>
          <w:tcPr>
            <w:tcW w:w="1794" w:type="dxa"/>
          </w:tcPr>
          <w:p w:rsidR="00907024" w:rsidRDefault="00907024" w:rsidP="00907024"/>
        </w:tc>
        <w:tc>
          <w:tcPr>
            <w:tcW w:w="6150" w:type="dxa"/>
          </w:tcPr>
          <w:p w:rsidR="00907024" w:rsidRDefault="008D2197" w:rsidP="00907024">
            <w:r>
              <w:t>No report</w:t>
            </w:r>
          </w:p>
        </w:tc>
        <w:tc>
          <w:tcPr>
            <w:tcW w:w="3878" w:type="dxa"/>
            <w:tcBorders>
              <w:right w:val="single" w:sz="4" w:space="0" w:color="000000"/>
            </w:tcBorders>
          </w:tcPr>
          <w:p w:rsidR="00907024" w:rsidRDefault="00907024" w:rsidP="00907024"/>
        </w:tc>
      </w:tr>
      <w:tr w:rsidR="00907024" w:rsidTr="00907024">
        <w:tc>
          <w:tcPr>
            <w:tcW w:w="2568" w:type="dxa"/>
            <w:tcBorders>
              <w:left w:val="single" w:sz="4" w:space="0" w:color="000000"/>
              <w:bottom w:val="single" w:sz="4" w:space="0" w:color="000000"/>
            </w:tcBorders>
          </w:tcPr>
          <w:p w:rsidR="00907024" w:rsidRDefault="00907024" w:rsidP="00907024">
            <w:r>
              <w:t>11.6 GERM report</w:t>
            </w:r>
          </w:p>
          <w:p w:rsidR="00907024" w:rsidRDefault="00907024" w:rsidP="00907024"/>
        </w:tc>
        <w:tc>
          <w:tcPr>
            <w:tcW w:w="1794" w:type="dxa"/>
            <w:tcBorders>
              <w:bottom w:val="single" w:sz="4" w:space="0" w:color="000000"/>
            </w:tcBorders>
          </w:tcPr>
          <w:p w:rsidR="00907024" w:rsidRDefault="00907024" w:rsidP="00907024">
            <w:r>
              <w:t>Frank Myers</w:t>
            </w:r>
          </w:p>
        </w:tc>
        <w:tc>
          <w:tcPr>
            <w:tcW w:w="6150" w:type="dxa"/>
            <w:tcBorders>
              <w:bottom w:val="single" w:sz="4" w:space="0" w:color="000000"/>
            </w:tcBorders>
          </w:tcPr>
          <w:p w:rsidR="00907024" w:rsidRDefault="00907024" w:rsidP="00907024">
            <w:r>
              <w:t>No report</w:t>
            </w:r>
          </w:p>
        </w:tc>
        <w:tc>
          <w:tcPr>
            <w:tcW w:w="3878" w:type="dxa"/>
            <w:tcBorders>
              <w:bottom w:val="single" w:sz="4" w:space="0" w:color="000000"/>
              <w:right w:val="single" w:sz="4" w:space="0" w:color="000000"/>
            </w:tcBorders>
          </w:tcPr>
          <w:p w:rsidR="00907024" w:rsidRDefault="00907024" w:rsidP="00907024"/>
        </w:tc>
      </w:tr>
      <w:tr w:rsidR="00907024" w:rsidTr="00907024">
        <w:tc>
          <w:tcPr>
            <w:tcW w:w="2568" w:type="dxa"/>
            <w:tcBorders>
              <w:top w:val="single" w:sz="4" w:space="0" w:color="000000"/>
            </w:tcBorders>
          </w:tcPr>
          <w:p w:rsidR="00907024" w:rsidRDefault="00907024" w:rsidP="00907024">
            <w:r>
              <w:t>12. Long-Term Care</w:t>
            </w:r>
          </w:p>
        </w:tc>
        <w:tc>
          <w:tcPr>
            <w:tcW w:w="1794" w:type="dxa"/>
            <w:tcBorders>
              <w:top w:val="single" w:sz="4" w:space="0" w:color="000000"/>
            </w:tcBorders>
          </w:tcPr>
          <w:p w:rsidR="00907024" w:rsidRDefault="00907024" w:rsidP="00907024">
            <w:r>
              <w:t>Jo Vroman</w:t>
            </w:r>
          </w:p>
          <w:p w:rsidR="00907024" w:rsidRDefault="00907024" w:rsidP="00907024"/>
        </w:tc>
        <w:tc>
          <w:tcPr>
            <w:tcW w:w="6150" w:type="dxa"/>
            <w:tcBorders>
              <w:top w:val="single" w:sz="4" w:space="0" w:color="000000"/>
            </w:tcBorders>
          </w:tcPr>
          <w:p w:rsidR="00907024" w:rsidRDefault="00907024" w:rsidP="00907024">
            <w:r>
              <w:t>No report</w:t>
            </w:r>
          </w:p>
          <w:p w:rsidR="00907024" w:rsidRDefault="00907024" w:rsidP="00907024"/>
        </w:tc>
        <w:tc>
          <w:tcPr>
            <w:tcW w:w="3878" w:type="dxa"/>
            <w:tcBorders>
              <w:top w:val="single" w:sz="4" w:space="0" w:color="000000"/>
            </w:tcBorders>
          </w:tcPr>
          <w:p w:rsidR="00907024" w:rsidRDefault="00907024" w:rsidP="00907024"/>
        </w:tc>
      </w:tr>
      <w:tr w:rsidR="00907024" w:rsidTr="00907024">
        <w:tc>
          <w:tcPr>
            <w:tcW w:w="2568" w:type="dxa"/>
          </w:tcPr>
          <w:p w:rsidR="00907024" w:rsidRDefault="00907024" w:rsidP="00907024">
            <w:r>
              <w:t>13.  Long Term Acute Care</w:t>
            </w:r>
          </w:p>
        </w:tc>
        <w:tc>
          <w:tcPr>
            <w:tcW w:w="1794" w:type="dxa"/>
          </w:tcPr>
          <w:p w:rsidR="00907024" w:rsidRDefault="00907024" w:rsidP="00907024"/>
        </w:tc>
        <w:tc>
          <w:tcPr>
            <w:tcW w:w="6150" w:type="dxa"/>
          </w:tcPr>
          <w:p w:rsidR="00907024" w:rsidRDefault="008D2197" w:rsidP="00907024">
            <w:r>
              <w:t>No report</w:t>
            </w:r>
          </w:p>
        </w:tc>
        <w:tc>
          <w:tcPr>
            <w:tcW w:w="3878" w:type="dxa"/>
          </w:tcPr>
          <w:p w:rsidR="00907024" w:rsidRDefault="00907024" w:rsidP="00907024"/>
        </w:tc>
      </w:tr>
      <w:tr w:rsidR="00907024" w:rsidTr="00907024">
        <w:tc>
          <w:tcPr>
            <w:tcW w:w="2568" w:type="dxa"/>
          </w:tcPr>
          <w:p w:rsidR="00907024" w:rsidRDefault="00907024" w:rsidP="00907024">
            <w:r>
              <w:t>14.  Ambulatory Care</w:t>
            </w:r>
          </w:p>
        </w:tc>
        <w:tc>
          <w:tcPr>
            <w:tcW w:w="1794" w:type="dxa"/>
          </w:tcPr>
          <w:p w:rsidR="00907024" w:rsidRDefault="00907024" w:rsidP="00907024"/>
        </w:tc>
        <w:tc>
          <w:tcPr>
            <w:tcW w:w="6150" w:type="dxa"/>
          </w:tcPr>
          <w:p w:rsidR="00907024" w:rsidRDefault="008D2197" w:rsidP="00907024">
            <w:r>
              <w:t>No report</w:t>
            </w:r>
          </w:p>
        </w:tc>
        <w:tc>
          <w:tcPr>
            <w:tcW w:w="3878" w:type="dxa"/>
          </w:tcPr>
          <w:p w:rsidR="00907024" w:rsidRDefault="00907024" w:rsidP="00907024"/>
        </w:tc>
      </w:tr>
      <w:tr w:rsidR="00907024" w:rsidTr="00907024">
        <w:tc>
          <w:tcPr>
            <w:tcW w:w="2568" w:type="dxa"/>
          </w:tcPr>
          <w:p w:rsidR="00907024" w:rsidRDefault="00907024" w:rsidP="00907024">
            <w:r>
              <w:t>15. County Epi</w:t>
            </w:r>
          </w:p>
        </w:tc>
        <w:tc>
          <w:tcPr>
            <w:tcW w:w="1794" w:type="dxa"/>
          </w:tcPr>
          <w:p w:rsidR="00907024" w:rsidRDefault="00907024" w:rsidP="00907024">
            <w:r>
              <w:t>Grace Kang</w:t>
            </w:r>
          </w:p>
        </w:tc>
        <w:tc>
          <w:tcPr>
            <w:tcW w:w="6150" w:type="dxa"/>
          </w:tcPr>
          <w:p w:rsidR="00907024" w:rsidRDefault="00907024" w:rsidP="00907024">
            <w:r>
              <w:t xml:space="preserve">Grace: </w:t>
            </w:r>
            <w:proofErr w:type="spellStart"/>
            <w:r>
              <w:t>FluWatch</w:t>
            </w:r>
            <w:proofErr w:type="spellEnd"/>
            <w:r>
              <w:t xml:space="preserve"> came out today. There are 475 cases in SD county, 2 outbreaks statewide, and 74 new cases. Numbers currently tracking as 2016-2017 flu season which was very severe. So far type A is 62%, B is 36%. </w:t>
            </w:r>
          </w:p>
          <w:p w:rsidR="00907024" w:rsidRDefault="00907024" w:rsidP="00907024">
            <w:r>
              <w:t xml:space="preserve">Mumps cases are still being reporting. 161 mumps cases in CA, 52 in SD county YTD. SDPH has testing guidelines available. Mexico currently reports outbreaks along border towns. Tijuana has an outbreak with 7 cases. 24 cases reported NO travel so virus is circulating.  Providers need to perform buccal swab for suspect cases. Testing at SDPH are batched on Tuesday and Friday. Reminder to isolate for 5 days after onset of illness. </w:t>
            </w:r>
          </w:p>
          <w:p w:rsidR="00907024" w:rsidRDefault="00907024" w:rsidP="00907024">
            <w:r>
              <w:t xml:space="preserve">Grace is now program coordinator for HAI. </w:t>
            </w:r>
          </w:p>
          <w:p w:rsidR="00907024" w:rsidRDefault="00907024" w:rsidP="00907024">
            <w:r>
              <w:t>CRE is reportable per state HD. Isolating cases of CRPA from Mexico. Sharp/Scripps are screening on presentation. SDPH asks to screen all patients if + travel history, or had health care with home care, had medical procedure in Mexico, or is from a SNF, or receiving outpatient dialysis. CDC submitted CRPA as an urgent threat and an alert was sent. Outpatients are not screened as yet. There is no reimbursement for testing from the state. Screening information did not come out as a CAHAN alert.</w:t>
            </w:r>
          </w:p>
        </w:tc>
        <w:tc>
          <w:tcPr>
            <w:tcW w:w="3878" w:type="dxa"/>
          </w:tcPr>
          <w:p w:rsidR="00907024" w:rsidRDefault="00907024" w:rsidP="00907024">
            <w:r>
              <w:t>Link to subscribe to Flu Watch: SDPH.org</w:t>
            </w:r>
          </w:p>
          <w:p w:rsidR="00907024" w:rsidRDefault="00907024" w:rsidP="00907024">
            <w:r>
              <w:t>Will send links to CDPH and other sites</w:t>
            </w:r>
          </w:p>
        </w:tc>
      </w:tr>
      <w:tr w:rsidR="00907024" w:rsidTr="00907024">
        <w:tc>
          <w:tcPr>
            <w:tcW w:w="2568" w:type="dxa"/>
          </w:tcPr>
          <w:p w:rsidR="00907024" w:rsidRDefault="00907024" w:rsidP="00907024">
            <w:r>
              <w:t>14. Other announcements, questions, comments</w:t>
            </w:r>
          </w:p>
        </w:tc>
        <w:tc>
          <w:tcPr>
            <w:tcW w:w="1794" w:type="dxa"/>
          </w:tcPr>
          <w:p w:rsidR="00907024" w:rsidRDefault="00907024" w:rsidP="00907024">
            <w:r>
              <w:t>Group</w:t>
            </w:r>
          </w:p>
          <w:p w:rsidR="00907024" w:rsidRDefault="00907024" w:rsidP="00907024"/>
          <w:p w:rsidR="00907024" w:rsidRDefault="00907024" w:rsidP="00907024"/>
          <w:p w:rsidR="00907024" w:rsidRDefault="00907024" w:rsidP="00907024"/>
          <w:p w:rsidR="00907024" w:rsidRDefault="00907024" w:rsidP="00907024"/>
          <w:p w:rsidR="00907024" w:rsidRDefault="00907024" w:rsidP="00907024"/>
          <w:p w:rsidR="00907024" w:rsidRDefault="00907024" w:rsidP="00907024"/>
          <w:p w:rsidR="00907024" w:rsidRDefault="00907024" w:rsidP="00907024">
            <w:r>
              <w:t xml:space="preserve">Will Cardona &amp; Priscila </w:t>
            </w:r>
            <w:proofErr w:type="spellStart"/>
            <w:r>
              <w:t>DeVera</w:t>
            </w:r>
            <w:proofErr w:type="spellEnd"/>
          </w:p>
        </w:tc>
        <w:tc>
          <w:tcPr>
            <w:tcW w:w="6150" w:type="dxa"/>
          </w:tcPr>
          <w:p w:rsidR="00907024" w:rsidRDefault="00907024" w:rsidP="00907024">
            <w:r>
              <w:t xml:space="preserve">Brenda: El Centro visited by TJC, was early as the window had just opened. They weren’t expected until February. Very intense survey with focus on HLD, reprocessing endoscopes, not following manufacturer IFU and used product with 62% alcohol when IFU required 70%, cleaning instruments at point of use. TJC will revisit El Centro based on findings. </w:t>
            </w:r>
          </w:p>
          <w:p w:rsidR="00907024" w:rsidRDefault="00907024" w:rsidP="00907024">
            <w:r>
              <w:t xml:space="preserve">Short presentation of October AVA conference in Las Vegas NV. Focus on hand hygiene, Dr. </w:t>
            </w:r>
            <w:proofErr w:type="spellStart"/>
            <w:r>
              <w:t>Pittet’s</w:t>
            </w:r>
            <w:proofErr w:type="spellEnd"/>
            <w:r>
              <w:t xml:space="preserve"> work in other cultures to improve hand hygiene was inspiring, using WHO 5 Moments translated to that culture’s verbiage. Study showed peripheral IVs and PIV starts should be a sterile procedure to reduce CLABSIs. </w:t>
            </w:r>
          </w:p>
        </w:tc>
        <w:tc>
          <w:tcPr>
            <w:tcW w:w="3878" w:type="dxa"/>
          </w:tcPr>
          <w:p w:rsidR="00907024" w:rsidRDefault="00907024" w:rsidP="00907024"/>
          <w:p w:rsidR="00907024" w:rsidRDefault="00907024" w:rsidP="00907024"/>
          <w:p w:rsidR="00907024" w:rsidRDefault="00907024" w:rsidP="00907024"/>
          <w:p w:rsidR="00907024" w:rsidRDefault="00907024" w:rsidP="00907024"/>
          <w:p w:rsidR="00907024" w:rsidRDefault="00907024" w:rsidP="00907024"/>
          <w:p w:rsidR="00907024" w:rsidRDefault="00907024" w:rsidP="00907024"/>
          <w:p w:rsidR="00907024" w:rsidRDefault="00907024" w:rsidP="00907024"/>
        </w:tc>
      </w:tr>
      <w:tr w:rsidR="00907024" w:rsidTr="00907024">
        <w:tc>
          <w:tcPr>
            <w:tcW w:w="2568" w:type="dxa"/>
          </w:tcPr>
          <w:p w:rsidR="00907024" w:rsidRDefault="00907024" w:rsidP="00907024">
            <w:r>
              <w:t>15. Adjournment</w:t>
            </w:r>
          </w:p>
        </w:tc>
        <w:tc>
          <w:tcPr>
            <w:tcW w:w="1794" w:type="dxa"/>
          </w:tcPr>
          <w:p w:rsidR="00907024" w:rsidRDefault="00907024" w:rsidP="00907024">
            <w:bookmarkStart w:id="1" w:name="_gjdgxs" w:colFirst="0" w:colLast="0"/>
            <w:bookmarkEnd w:id="1"/>
            <w:r>
              <w:t>Tracy</w:t>
            </w:r>
          </w:p>
        </w:tc>
        <w:tc>
          <w:tcPr>
            <w:tcW w:w="6150" w:type="dxa"/>
          </w:tcPr>
          <w:p w:rsidR="00907024" w:rsidRDefault="00907024" w:rsidP="00907024">
            <w:r>
              <w:t>TIME:   1430</w:t>
            </w:r>
          </w:p>
        </w:tc>
        <w:tc>
          <w:tcPr>
            <w:tcW w:w="3878" w:type="dxa"/>
          </w:tcPr>
          <w:p w:rsidR="00907024" w:rsidRDefault="00907024" w:rsidP="00907024">
            <w:r>
              <w:t>NEXT MEETING:  December 11, 2019 (holiday party)</w:t>
            </w:r>
            <w:r w:rsidR="00BF79CF">
              <w:t xml:space="preserve"> at </w:t>
            </w:r>
            <w:proofErr w:type="spellStart"/>
            <w:r w:rsidR="00BF79CF">
              <w:t>Baci’s</w:t>
            </w:r>
            <w:proofErr w:type="spellEnd"/>
            <w:r w:rsidR="00BF79CF">
              <w:t xml:space="preserve">. </w:t>
            </w:r>
          </w:p>
        </w:tc>
      </w:tr>
    </w:tbl>
    <w:p w:rsidR="00CE50F8" w:rsidRDefault="00CE50F8"/>
    <w:sectPr w:rsidR="00CE50F8" w:rsidSect="00907024">
      <w:headerReference w:type="default" r:id="rId7"/>
      <w:pgSz w:w="15840" w:h="12240" w:orient="landscape"/>
      <w:pgMar w:top="245" w:right="2016" w:bottom="245" w:left="201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24" w:rsidRDefault="00907024" w:rsidP="00907024">
      <w:pPr>
        <w:spacing w:after="0" w:line="240" w:lineRule="auto"/>
      </w:pPr>
      <w:r>
        <w:separator/>
      </w:r>
    </w:p>
  </w:endnote>
  <w:endnote w:type="continuationSeparator" w:id="0">
    <w:p w:rsidR="00907024" w:rsidRDefault="00907024" w:rsidP="0090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24" w:rsidRDefault="00907024" w:rsidP="00907024">
      <w:pPr>
        <w:spacing w:after="0" w:line="240" w:lineRule="auto"/>
      </w:pPr>
      <w:r>
        <w:separator/>
      </w:r>
    </w:p>
  </w:footnote>
  <w:footnote w:type="continuationSeparator" w:id="0">
    <w:p w:rsidR="00907024" w:rsidRDefault="00907024" w:rsidP="00907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24" w:rsidRDefault="00907024" w:rsidP="00907024">
    <w:pPr>
      <w:ind w:firstLine="720"/>
      <w:jc w:val="center"/>
    </w:pPr>
  </w:p>
  <w:p w:rsidR="00907024" w:rsidRDefault="00907024" w:rsidP="00907024">
    <w:pPr>
      <w:spacing w:after="0"/>
      <w:ind w:firstLine="720"/>
      <w:jc w:val="center"/>
      <w:rPr>
        <w:b/>
      </w:rPr>
    </w:pPr>
    <w:r>
      <w:rPr>
        <w:b/>
      </w:rPr>
      <w:t>Association for Professionals in Infection Control and Epidemiology</w:t>
    </w:r>
    <w:proofErr w:type="gramStart"/>
    <w:r>
      <w:rPr>
        <w:b/>
      </w:rPr>
      <w:t>,  Inc</w:t>
    </w:r>
    <w:proofErr w:type="gramEnd"/>
    <w:r>
      <w:rPr>
        <w:b/>
      </w:rPr>
      <w:t>.</w:t>
    </w:r>
  </w:p>
  <w:p w:rsidR="00907024" w:rsidRDefault="00907024" w:rsidP="00907024">
    <w:pPr>
      <w:spacing w:after="0"/>
      <w:jc w:val="center"/>
      <w:rPr>
        <w:b/>
      </w:rPr>
    </w:pPr>
    <w:r>
      <w:rPr>
        <w:b/>
      </w:rPr>
      <w:t>San Diego and Imperial Counties Chapter 057</w:t>
    </w:r>
  </w:p>
  <w:p w:rsidR="00907024" w:rsidRDefault="00907024" w:rsidP="00907024">
    <w:pPr>
      <w:spacing w:after="0"/>
      <w:jc w:val="center"/>
      <w:rPr>
        <w:b/>
      </w:rPr>
    </w:pPr>
    <w:r>
      <w:rPr>
        <w:b/>
      </w:rPr>
      <w:t>Minutes for November 13, 2019</w:t>
    </w:r>
  </w:p>
  <w:p w:rsidR="00907024" w:rsidRDefault="00907024">
    <w:pPr>
      <w:pStyle w:val="Header"/>
    </w:pPr>
  </w:p>
  <w:p w:rsidR="00907024" w:rsidRDefault="0090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109D7"/>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287B3E"/>
    <w:multiLevelType w:val="multilevel"/>
    <w:tmpl w:val="8DC6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F8"/>
    <w:rsid w:val="00117126"/>
    <w:rsid w:val="002C49C4"/>
    <w:rsid w:val="003A52D8"/>
    <w:rsid w:val="003E2EA7"/>
    <w:rsid w:val="005C5F7C"/>
    <w:rsid w:val="006F75AC"/>
    <w:rsid w:val="007A6868"/>
    <w:rsid w:val="008D2197"/>
    <w:rsid w:val="00907024"/>
    <w:rsid w:val="00A40536"/>
    <w:rsid w:val="00A82686"/>
    <w:rsid w:val="00AE080F"/>
    <w:rsid w:val="00BD0CED"/>
    <w:rsid w:val="00BF79CF"/>
    <w:rsid w:val="00C21EA9"/>
    <w:rsid w:val="00C42577"/>
    <w:rsid w:val="00C8467A"/>
    <w:rsid w:val="00CE50F8"/>
    <w:rsid w:val="00E77C61"/>
    <w:rsid w:val="00F1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419F-F601-4A9D-B2C4-22F0988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0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24"/>
    <w:rPr>
      <w:rFonts w:ascii="Segoe UI" w:hAnsi="Segoe UI" w:cs="Segoe UI"/>
      <w:sz w:val="18"/>
      <w:szCs w:val="18"/>
    </w:rPr>
  </w:style>
  <w:style w:type="paragraph" w:styleId="Header">
    <w:name w:val="header"/>
    <w:basedOn w:val="Normal"/>
    <w:link w:val="HeaderChar"/>
    <w:uiPriority w:val="99"/>
    <w:unhideWhenUsed/>
    <w:rsid w:val="00907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24"/>
  </w:style>
  <w:style w:type="paragraph" w:styleId="Footer">
    <w:name w:val="footer"/>
    <w:basedOn w:val="Normal"/>
    <w:link w:val="FooterChar"/>
    <w:uiPriority w:val="99"/>
    <w:unhideWhenUsed/>
    <w:rsid w:val="00907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Margaret</dc:creator>
  <cp:lastModifiedBy>Becasen, Jarrod</cp:lastModifiedBy>
  <cp:revision>2</cp:revision>
  <cp:lastPrinted>2020-01-06T23:13:00Z</cp:lastPrinted>
  <dcterms:created xsi:type="dcterms:W3CDTF">2020-01-07T23:17:00Z</dcterms:created>
  <dcterms:modified xsi:type="dcterms:W3CDTF">2020-01-07T23:17:00Z</dcterms:modified>
</cp:coreProperties>
</file>