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49C7" w14:textId="77777777" w:rsidR="0016781C" w:rsidRDefault="0016781C" w:rsidP="0016781C">
      <w:pPr>
        <w:ind w:firstLine="720"/>
        <w:jc w:val="center"/>
      </w:pPr>
    </w:p>
    <w:p w14:paraId="0718290B" w14:textId="4C2C31A6" w:rsidR="00F517D9" w:rsidRPr="00912BCB" w:rsidRDefault="0016781C" w:rsidP="00F3500D">
      <w:pPr>
        <w:spacing w:after="0"/>
        <w:ind w:firstLine="720"/>
        <w:jc w:val="center"/>
        <w:rPr>
          <w:b/>
        </w:rPr>
      </w:pPr>
      <w:r w:rsidRPr="00912BCB">
        <w:rPr>
          <w:b/>
        </w:rPr>
        <w:t>Association for Professionals in Infection Control and Epidemiology, Inc.</w:t>
      </w:r>
    </w:p>
    <w:p w14:paraId="44EB44FE" w14:textId="77777777" w:rsidR="0016781C" w:rsidRPr="00912BCB" w:rsidRDefault="0016781C" w:rsidP="00F3500D">
      <w:pPr>
        <w:spacing w:after="0"/>
        <w:jc w:val="center"/>
        <w:rPr>
          <w:b/>
        </w:rPr>
      </w:pPr>
      <w:r w:rsidRPr="00912BCB">
        <w:rPr>
          <w:b/>
        </w:rPr>
        <w:t>San Diego and Imperial Counties Chapter 057</w:t>
      </w:r>
    </w:p>
    <w:p w14:paraId="12DCEB5E" w14:textId="7BD2419E" w:rsidR="00F3500D" w:rsidRPr="00912BCB" w:rsidRDefault="00F83A28" w:rsidP="00F3500D">
      <w:pPr>
        <w:spacing w:after="0"/>
        <w:jc w:val="center"/>
        <w:rPr>
          <w:b/>
        </w:rPr>
      </w:pPr>
      <w:r w:rsidRPr="00F83A28">
        <w:rPr>
          <w:b/>
        </w:rPr>
        <w:t>Minutes for January 11,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606"/>
        <w:gridCol w:w="8399"/>
        <w:gridCol w:w="2315"/>
      </w:tblGrid>
      <w:tr w:rsidR="001D38CC" w:rsidRPr="0016781C" w14:paraId="395768A4" w14:textId="77777777" w:rsidTr="000D0D40">
        <w:tc>
          <w:tcPr>
            <w:tcW w:w="2070" w:type="dxa"/>
            <w:shd w:val="clear" w:color="auto" w:fill="D9D9D9" w:themeFill="background1" w:themeFillShade="D9"/>
          </w:tcPr>
          <w:p w14:paraId="403E3D9B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TOPIC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2ECE2F96" w14:textId="77777777" w:rsidR="000E5021" w:rsidRPr="0016781C" w:rsidRDefault="000E5021" w:rsidP="0016781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8399" w:type="dxa"/>
            <w:shd w:val="clear" w:color="auto" w:fill="D9D9D9" w:themeFill="background1" w:themeFillShade="D9"/>
          </w:tcPr>
          <w:p w14:paraId="370463E3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DISCUSSION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3E78BF80" w14:textId="77777777" w:rsidR="000E5021" w:rsidRPr="0016781C" w:rsidRDefault="000E5021" w:rsidP="000E5021">
            <w:pPr>
              <w:jc w:val="center"/>
              <w:rPr>
                <w:b/>
              </w:rPr>
            </w:pPr>
            <w:r w:rsidRPr="0016781C">
              <w:rPr>
                <w:b/>
              </w:rPr>
              <w:t>ACTION/</w:t>
            </w:r>
            <w:r>
              <w:rPr>
                <w:b/>
              </w:rPr>
              <w:t>ASSIGNMENT</w:t>
            </w:r>
          </w:p>
        </w:tc>
      </w:tr>
      <w:tr w:rsidR="001D38CC" w:rsidRPr="00912BCB" w14:paraId="03DECFEB" w14:textId="77777777" w:rsidTr="000D0D40">
        <w:trPr>
          <w:trHeight w:val="305"/>
        </w:trPr>
        <w:tc>
          <w:tcPr>
            <w:tcW w:w="2070" w:type="dxa"/>
          </w:tcPr>
          <w:p w14:paraId="69563EEE" w14:textId="77777777" w:rsidR="000E5021" w:rsidRPr="00912BCB" w:rsidRDefault="000E5021" w:rsidP="000E5021">
            <w:r w:rsidRPr="00912BCB">
              <w:t>1. Call to Order</w:t>
            </w:r>
          </w:p>
        </w:tc>
        <w:tc>
          <w:tcPr>
            <w:tcW w:w="1606" w:type="dxa"/>
          </w:tcPr>
          <w:p w14:paraId="2CB92B1F" w14:textId="4639E61C" w:rsidR="000E5021" w:rsidRPr="00912BCB" w:rsidRDefault="001D38CC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56B80500" w14:textId="43851B32" w:rsidR="000E5021" w:rsidRPr="00912BCB" w:rsidRDefault="000E5021" w:rsidP="008502B7">
            <w:r>
              <w:t>TIME:</w:t>
            </w:r>
            <w:r w:rsidR="00EF1A81">
              <w:t xml:space="preserve">  </w:t>
            </w:r>
            <w:r w:rsidR="001D38CC">
              <w:t>130</w:t>
            </w:r>
            <w:r w:rsidR="00A4325C">
              <w:t>2</w:t>
            </w:r>
          </w:p>
        </w:tc>
        <w:tc>
          <w:tcPr>
            <w:tcW w:w="2315" w:type="dxa"/>
          </w:tcPr>
          <w:p w14:paraId="6CA4A870" w14:textId="3A974280" w:rsidR="000E5021" w:rsidRPr="00912BCB" w:rsidRDefault="000E5021" w:rsidP="0016781C">
            <w:r w:rsidRPr="00912BCB">
              <w:t>N</w:t>
            </w:r>
            <w:r w:rsidR="00A5672D">
              <w:t>one</w:t>
            </w:r>
          </w:p>
        </w:tc>
      </w:tr>
      <w:tr w:rsidR="00A5672D" w:rsidRPr="00912BCB" w14:paraId="53131109" w14:textId="77777777" w:rsidTr="000D0D40">
        <w:tc>
          <w:tcPr>
            <w:tcW w:w="2070" w:type="dxa"/>
          </w:tcPr>
          <w:p w14:paraId="15DB2E55" w14:textId="63489837" w:rsidR="00A5672D" w:rsidRPr="00912BCB" w:rsidRDefault="00A5672D" w:rsidP="00511AB0">
            <w:pPr>
              <w:ind w:left="240" w:hanging="240"/>
            </w:pPr>
            <w:r>
              <w:t>2</w:t>
            </w:r>
            <w:r w:rsidRPr="00912BCB">
              <w:t>.</w:t>
            </w:r>
            <w:r>
              <w:t xml:space="preserve"> </w:t>
            </w:r>
            <w:r w:rsidRPr="00912BCB">
              <w:t>Recognition</w:t>
            </w:r>
            <w:r>
              <w:t>/ Introductions</w:t>
            </w:r>
          </w:p>
        </w:tc>
        <w:tc>
          <w:tcPr>
            <w:tcW w:w="1606" w:type="dxa"/>
          </w:tcPr>
          <w:p w14:paraId="148D430E" w14:textId="302CAAB3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7F2BC6E3" w14:textId="29BAC976" w:rsidR="00A5672D" w:rsidRDefault="00A5672D" w:rsidP="0016781C">
            <w:r>
              <w:t>2023 Board of Directors</w:t>
            </w:r>
          </w:p>
          <w:p w14:paraId="7DCF7E1E" w14:textId="77777777" w:rsidR="00126E96" w:rsidRDefault="00126E96" w:rsidP="0016781C"/>
          <w:p w14:paraId="4D79DE96" w14:textId="1EDBDC70" w:rsidR="00A5672D" w:rsidRDefault="00A5672D" w:rsidP="00A97BBD">
            <w:r>
              <w:t xml:space="preserve">Past President </w:t>
            </w:r>
            <w:r w:rsidR="000D0D40">
              <w:tab/>
            </w:r>
            <w:r w:rsidR="000D0D40">
              <w:tab/>
            </w:r>
            <w:r>
              <w:t>Margaret “Maggie” Turner, M.Ed., FAPIC (CIC), PHN, BSN, RN</w:t>
            </w:r>
          </w:p>
          <w:p w14:paraId="259D594F" w14:textId="10946DC9" w:rsidR="00A5672D" w:rsidRDefault="00A5672D" w:rsidP="00A97BBD">
            <w:r>
              <w:t>President</w:t>
            </w:r>
            <w:r w:rsidR="000D0D40">
              <w:tab/>
            </w:r>
            <w:r w:rsidR="000D0D40">
              <w:tab/>
            </w:r>
            <w:r>
              <w:t xml:space="preserve">Jarrod Becasen, MPH, CIC </w:t>
            </w:r>
          </w:p>
          <w:p w14:paraId="2078047E" w14:textId="01200BDB" w:rsidR="00A5672D" w:rsidRDefault="00A5672D" w:rsidP="00A97BBD">
            <w:r>
              <w:t xml:space="preserve">President Elect </w:t>
            </w:r>
            <w:r w:rsidR="000D0D40">
              <w:tab/>
            </w:r>
            <w:r w:rsidR="00A97BBD">
              <w:tab/>
            </w:r>
            <w:r>
              <w:t>Frank Edward Myers III, M.A., CIC, FAPIC</w:t>
            </w:r>
          </w:p>
          <w:p w14:paraId="3751129E" w14:textId="3E29E371" w:rsidR="00A5672D" w:rsidRDefault="00A5672D" w:rsidP="00A97BBD">
            <w:r>
              <w:t xml:space="preserve">Treasurer </w:t>
            </w:r>
            <w:r w:rsidR="000D0D40">
              <w:tab/>
            </w:r>
            <w:r w:rsidR="000D0D40">
              <w:tab/>
            </w:r>
            <w:r>
              <w:t>Viviana Parra, MPH, CIC</w:t>
            </w:r>
          </w:p>
          <w:p w14:paraId="3C43FDC2" w14:textId="534109C1" w:rsidR="00A5672D" w:rsidRDefault="00A5672D" w:rsidP="00A97BBD">
            <w:r>
              <w:t>Treasurer Elect</w:t>
            </w:r>
            <w:r w:rsidR="000D0D40">
              <w:tab/>
            </w:r>
            <w:r w:rsidR="00A97BBD">
              <w:tab/>
            </w:r>
            <w:r>
              <w:t xml:space="preserve">Kristyn Schumacher BSN, RN, CIC, OCN, PCCN </w:t>
            </w:r>
          </w:p>
          <w:p w14:paraId="0061EA86" w14:textId="70CBBDE6" w:rsidR="000D0D40" w:rsidRDefault="000D0D40" w:rsidP="00A97BBD">
            <w:r>
              <w:t xml:space="preserve">Legislative Rep </w:t>
            </w:r>
            <w:r>
              <w:tab/>
            </w:r>
            <w:r w:rsidR="00A97BBD">
              <w:tab/>
            </w:r>
            <w:r>
              <w:t>Kim Delahanty, BSN, PHN, MBA/HCM, CIC, FAPIC</w:t>
            </w:r>
          </w:p>
          <w:p w14:paraId="176AC476" w14:textId="59822F15" w:rsidR="00A5672D" w:rsidRDefault="00A5672D" w:rsidP="00A97BBD">
            <w:r>
              <w:t>Secretary</w:t>
            </w:r>
            <w:r w:rsidR="000D0D40">
              <w:tab/>
            </w:r>
            <w:r w:rsidR="000D0D40">
              <w:tab/>
            </w:r>
            <w:r>
              <w:t>Margaret “Maggie” Marlatt, BSN, RN, PHN</w:t>
            </w:r>
          </w:p>
          <w:p w14:paraId="75FF9331" w14:textId="2B8322D2" w:rsidR="00A5672D" w:rsidRDefault="00A5672D" w:rsidP="00A97BBD">
            <w:r>
              <w:t xml:space="preserve">Membership Chair </w:t>
            </w:r>
            <w:r w:rsidR="000D0D40">
              <w:tab/>
            </w:r>
            <w:r>
              <w:t>Liz Jefferson, B.S., Ph.D., CIC</w:t>
            </w:r>
          </w:p>
          <w:p w14:paraId="68BEC512" w14:textId="76D43633" w:rsidR="00A5672D" w:rsidRDefault="00A5672D" w:rsidP="00A97BBD">
            <w:r>
              <w:t xml:space="preserve">Education Chair </w:t>
            </w:r>
            <w:r w:rsidR="000D0D40">
              <w:tab/>
            </w:r>
            <w:r>
              <w:t>Jessica Alicdan, MPH, CIC</w:t>
            </w:r>
          </w:p>
          <w:p w14:paraId="2D9A9E26" w14:textId="77777777" w:rsidR="00AA2CEB" w:rsidRDefault="00AA2CEB" w:rsidP="00A97BBD"/>
          <w:p w14:paraId="092E3181" w14:textId="77777777" w:rsidR="00AA2CEB" w:rsidRDefault="00A5672D" w:rsidP="00A97BBD">
            <w:r>
              <w:t>Vendor Liaisons</w:t>
            </w:r>
            <w:r w:rsidR="000D0D40">
              <w:tab/>
            </w:r>
            <w:r w:rsidR="00A97BBD">
              <w:tab/>
            </w:r>
          </w:p>
          <w:p w14:paraId="799B308E" w14:textId="4C2DD869" w:rsidR="00A5672D" w:rsidRDefault="00AA2CEB" w:rsidP="00A97BBD">
            <w:r>
              <w:tab/>
            </w:r>
            <w:r w:rsidR="00A5672D">
              <w:t>Fernando Ipanaque (Clorox)</w:t>
            </w:r>
          </w:p>
          <w:p w14:paraId="51A2C2CD" w14:textId="04823EB4" w:rsidR="00A5672D" w:rsidRDefault="00AA2CEB" w:rsidP="00AA2CEB">
            <w:r>
              <w:tab/>
            </w:r>
            <w:r w:rsidR="00A5672D">
              <w:t>Tina Foudy (3M)</w:t>
            </w:r>
          </w:p>
          <w:p w14:paraId="01EE184A" w14:textId="77777777" w:rsidR="00AA2CEB" w:rsidRDefault="00AA2CEB" w:rsidP="00A97BBD"/>
          <w:p w14:paraId="1B9FD482" w14:textId="78E4F092" w:rsidR="00A97BBD" w:rsidRDefault="00A5672D" w:rsidP="00A97BBD">
            <w:r>
              <w:t>Social Chair</w:t>
            </w:r>
            <w:r w:rsidR="00A97BBD">
              <w:t xml:space="preserve"> &amp; </w:t>
            </w:r>
            <w:r>
              <w:t xml:space="preserve">Committee </w:t>
            </w:r>
          </w:p>
          <w:p w14:paraId="6C181F31" w14:textId="5DA8339A" w:rsidR="00A5672D" w:rsidRDefault="00A97BBD" w:rsidP="00A97BBD">
            <w:r>
              <w:tab/>
            </w:r>
            <w:r w:rsidR="00A5672D">
              <w:t>Latrice Jackson-Washington, MPA, BSHS</w:t>
            </w:r>
          </w:p>
          <w:p w14:paraId="74718A24" w14:textId="0FEC36E5" w:rsidR="00A5672D" w:rsidRDefault="00A97BBD" w:rsidP="00A97BBD">
            <w:r>
              <w:tab/>
            </w:r>
            <w:r w:rsidR="00A5672D">
              <w:t>Christian B. Andaya, RN, BSN, CIC</w:t>
            </w:r>
          </w:p>
          <w:p w14:paraId="42CD8449" w14:textId="23163815" w:rsidR="00A5672D" w:rsidRDefault="00A97BBD" w:rsidP="00A97BBD">
            <w:r>
              <w:tab/>
            </w:r>
            <w:r w:rsidR="00A5672D">
              <w:t>Heidi Campas-Higgins, RN BSN</w:t>
            </w:r>
          </w:p>
          <w:p w14:paraId="64E8C07C" w14:textId="77777777" w:rsidR="00A97BBD" w:rsidRDefault="00A97BBD" w:rsidP="00A97BBD"/>
          <w:p w14:paraId="1C67E758" w14:textId="77828301" w:rsidR="00A97BBD" w:rsidRDefault="00A5672D" w:rsidP="00A97BBD">
            <w:r>
              <w:t>Nominating</w:t>
            </w:r>
            <w:r w:rsidR="00A97BBD">
              <w:t xml:space="preserve"> &amp; </w:t>
            </w:r>
            <w:r>
              <w:t>Awards Chair</w:t>
            </w:r>
            <w:r w:rsidR="00A97BBD">
              <w:t xml:space="preserve"> &amp; </w:t>
            </w:r>
            <w:r>
              <w:t xml:space="preserve">Committee </w:t>
            </w:r>
            <w:r w:rsidR="00A97BBD">
              <w:tab/>
            </w:r>
          </w:p>
          <w:p w14:paraId="6158AC13" w14:textId="5922E54C" w:rsidR="00A5672D" w:rsidRDefault="00A97BBD" w:rsidP="00A97BBD">
            <w:r>
              <w:tab/>
            </w:r>
            <w:r w:rsidR="00A5672D">
              <w:t>Claudia Sanchez Goad RN, CCM, CIC</w:t>
            </w:r>
          </w:p>
          <w:p w14:paraId="21CE40A7" w14:textId="03AF4F51" w:rsidR="00A5672D" w:rsidRDefault="00A97BBD" w:rsidP="00A97BBD">
            <w:r>
              <w:tab/>
            </w:r>
            <w:r w:rsidR="00A5672D">
              <w:t>Lisa Mattia, BSN, RN, CIC</w:t>
            </w:r>
          </w:p>
          <w:p w14:paraId="75745232" w14:textId="77777777" w:rsidR="00A97BBD" w:rsidRDefault="00A97BBD" w:rsidP="0016781C"/>
          <w:p w14:paraId="009301CA" w14:textId="2A0145FD" w:rsidR="00A5672D" w:rsidRDefault="00A5672D" w:rsidP="0016781C">
            <w:r>
              <w:t>New Members or Visitors</w:t>
            </w:r>
            <w:r w:rsidR="00A97BBD">
              <w:t>…</w:t>
            </w:r>
          </w:p>
          <w:p w14:paraId="42D969C0" w14:textId="77777777" w:rsidR="00126E96" w:rsidRDefault="00126E96" w:rsidP="0016781C"/>
          <w:p w14:paraId="0738777D" w14:textId="1314E8B8" w:rsidR="00A5672D" w:rsidRDefault="00A5672D" w:rsidP="0016781C">
            <w:r>
              <w:t xml:space="preserve">New CIC </w:t>
            </w:r>
            <w:r w:rsidR="00A97BBD">
              <w:t>C</w:t>
            </w:r>
            <w:r>
              <w:t xml:space="preserve">ertifications or </w:t>
            </w:r>
            <w:r w:rsidR="00A97BBD">
              <w:t>R</w:t>
            </w:r>
            <w:r>
              <w:t>e-certifications</w:t>
            </w:r>
            <w:r w:rsidR="00A97BBD">
              <w:t>…</w:t>
            </w:r>
          </w:p>
          <w:p w14:paraId="0A523134" w14:textId="2D328C2D" w:rsidR="00126E96" w:rsidRPr="00912BCB" w:rsidRDefault="00126E96" w:rsidP="0016781C"/>
        </w:tc>
        <w:tc>
          <w:tcPr>
            <w:tcW w:w="2315" w:type="dxa"/>
          </w:tcPr>
          <w:p w14:paraId="0E364573" w14:textId="4D290013" w:rsidR="00A5672D" w:rsidRPr="00912BCB" w:rsidRDefault="00A5672D" w:rsidP="0016781C">
            <w:r>
              <w:t>None</w:t>
            </w:r>
          </w:p>
        </w:tc>
      </w:tr>
      <w:tr w:rsidR="00A5672D" w:rsidRPr="00912BCB" w14:paraId="2D10FA68" w14:textId="77777777" w:rsidTr="000D0D40">
        <w:tc>
          <w:tcPr>
            <w:tcW w:w="2070" w:type="dxa"/>
          </w:tcPr>
          <w:p w14:paraId="1D817252" w14:textId="08BEAE39" w:rsidR="00A5672D" w:rsidRPr="00912BCB" w:rsidRDefault="00A5672D" w:rsidP="000E5021">
            <w:r>
              <w:t>3</w:t>
            </w:r>
            <w:r w:rsidRPr="00912BCB">
              <w:t xml:space="preserve">. </w:t>
            </w:r>
            <w:r>
              <w:t>Old Business</w:t>
            </w:r>
          </w:p>
        </w:tc>
        <w:tc>
          <w:tcPr>
            <w:tcW w:w="1606" w:type="dxa"/>
          </w:tcPr>
          <w:p w14:paraId="0A0B646C" w14:textId="533DDDC1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0CAEE923" w14:textId="77777777" w:rsidR="00A5672D" w:rsidRDefault="00A5672D" w:rsidP="0016781C">
            <w:r>
              <w:t>Minutes approved for November 2022. Frank Myers motioned to approve; Kim Delahanty seconded.</w:t>
            </w:r>
          </w:p>
          <w:p w14:paraId="40CB784C" w14:textId="30FD9E4E" w:rsidR="00126E96" w:rsidRPr="00912BCB" w:rsidRDefault="00126E96" w:rsidP="0016781C"/>
        </w:tc>
        <w:tc>
          <w:tcPr>
            <w:tcW w:w="2315" w:type="dxa"/>
          </w:tcPr>
          <w:p w14:paraId="58D2E110" w14:textId="2970B5A4" w:rsidR="00A5672D" w:rsidRPr="00912BCB" w:rsidRDefault="00A5672D" w:rsidP="0016781C">
            <w:r>
              <w:t>None</w:t>
            </w:r>
          </w:p>
        </w:tc>
      </w:tr>
      <w:tr w:rsidR="00A5672D" w:rsidRPr="00912BCB" w14:paraId="226D124F" w14:textId="77777777" w:rsidTr="000D0D40">
        <w:tc>
          <w:tcPr>
            <w:tcW w:w="2070" w:type="dxa"/>
          </w:tcPr>
          <w:p w14:paraId="1F612351" w14:textId="3A5EFC5A" w:rsidR="00A5672D" w:rsidRDefault="00A5672D" w:rsidP="000E5021">
            <w:r>
              <w:lastRenderedPageBreak/>
              <w:t>4</w:t>
            </w:r>
            <w:r w:rsidRPr="00912BCB">
              <w:t>. New Business</w:t>
            </w:r>
          </w:p>
          <w:p w14:paraId="6C948CA0" w14:textId="77777777" w:rsidR="00A5672D" w:rsidRDefault="00A5672D" w:rsidP="000E5021"/>
          <w:p w14:paraId="19E3CACA" w14:textId="77777777" w:rsidR="00A5672D" w:rsidRDefault="00A5672D" w:rsidP="000E5021"/>
          <w:p w14:paraId="52E77A2E" w14:textId="77777777" w:rsidR="00A5672D" w:rsidRDefault="00A5672D" w:rsidP="000E5021"/>
          <w:p w14:paraId="1547058A" w14:textId="77777777" w:rsidR="00A5672D" w:rsidRDefault="00A5672D" w:rsidP="000E5021"/>
          <w:p w14:paraId="60AC35E7" w14:textId="77777777" w:rsidR="00A5672D" w:rsidRDefault="00A5672D" w:rsidP="000E5021"/>
          <w:p w14:paraId="499CD6A7" w14:textId="77777777" w:rsidR="00A5672D" w:rsidRDefault="00A5672D" w:rsidP="000E5021"/>
          <w:p w14:paraId="20E3A88D" w14:textId="77777777" w:rsidR="00A5672D" w:rsidRDefault="00A5672D" w:rsidP="000E5021"/>
          <w:p w14:paraId="58C5E191" w14:textId="77777777" w:rsidR="00A5672D" w:rsidRDefault="00A5672D" w:rsidP="000E5021"/>
          <w:p w14:paraId="7F632837" w14:textId="59835BAF" w:rsidR="00A5672D" w:rsidRPr="00912BCB" w:rsidRDefault="00A5672D" w:rsidP="000E5021"/>
        </w:tc>
        <w:tc>
          <w:tcPr>
            <w:tcW w:w="1606" w:type="dxa"/>
          </w:tcPr>
          <w:p w14:paraId="1A0ACE47" w14:textId="0CA1686D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552FCA7B" w14:textId="095F5A2B" w:rsidR="00A5672D" w:rsidRDefault="00A5672D" w:rsidP="0016781C">
            <w:r>
              <w:t>Chapter Goals</w:t>
            </w:r>
            <w:r w:rsidR="006647A1">
              <w:t xml:space="preserve"> – Based off APIC Strategic Plan</w:t>
            </w:r>
          </w:p>
          <w:p w14:paraId="2A12DEE4" w14:textId="77777777" w:rsidR="00126E96" w:rsidRDefault="00126E96" w:rsidP="0016781C"/>
          <w:p w14:paraId="59153CF5" w14:textId="77777777" w:rsidR="00A5672D" w:rsidRDefault="00A5672D" w:rsidP="00A5672D">
            <w:pPr>
              <w:ind w:left="481"/>
            </w:pPr>
            <w:r>
              <w:t>Elevate Infection Preventionists as essential advocates, leaders, and experts</w:t>
            </w:r>
          </w:p>
          <w:p w14:paraId="1ED078DE" w14:textId="5E175E99" w:rsidR="00A5672D" w:rsidRDefault="00A5672D" w:rsidP="00A5672D">
            <w:pPr>
              <w:pStyle w:val="ListParagraph"/>
              <w:numPr>
                <w:ilvl w:val="0"/>
                <w:numId w:val="3"/>
              </w:numPr>
            </w:pPr>
            <w:r>
              <w:t>Increase member certification (CIC® &amp; a-IPC™) by 5% from December 2022 within 1 year</w:t>
            </w:r>
          </w:p>
          <w:p w14:paraId="4194ED45" w14:textId="77777777" w:rsidR="00126E96" w:rsidRDefault="00126E96" w:rsidP="00126E96">
            <w:pPr>
              <w:pStyle w:val="ListParagraph"/>
              <w:ind w:left="1201"/>
            </w:pPr>
          </w:p>
          <w:p w14:paraId="3EB9ABC6" w14:textId="77777777" w:rsidR="00A5672D" w:rsidRDefault="00A5672D" w:rsidP="00A5672D">
            <w:pPr>
              <w:ind w:left="481"/>
            </w:pPr>
            <w:r>
              <w:t>Foster development of the next generation infection prevention and control workforce</w:t>
            </w:r>
          </w:p>
          <w:p w14:paraId="73FF9D93" w14:textId="14E6253A" w:rsidR="00A5672D" w:rsidRDefault="006647A1" w:rsidP="00A5672D">
            <w:pPr>
              <w:pStyle w:val="ListParagraph"/>
              <w:numPr>
                <w:ilvl w:val="0"/>
                <w:numId w:val="4"/>
              </w:numPr>
            </w:pPr>
            <w:r>
              <w:t>Institute</w:t>
            </w:r>
            <w:r w:rsidR="00A5672D">
              <w:t xml:space="preserve"> a chapter-based mentorship program</w:t>
            </w:r>
            <w:r>
              <w:t xml:space="preserve">, spearheaded by Jessica, </w:t>
            </w:r>
            <w:r w:rsidR="00A5672D">
              <w:t>that would provide resources to new or budding IPs, SNF &amp; LTCF IPs, and support other career pipelines to the profession by December 2023</w:t>
            </w:r>
          </w:p>
          <w:p w14:paraId="304CF7A8" w14:textId="77777777" w:rsidR="00A5672D" w:rsidRDefault="00A5672D" w:rsidP="00A5672D">
            <w:pPr>
              <w:pStyle w:val="ListParagraph"/>
              <w:numPr>
                <w:ilvl w:val="0"/>
                <w:numId w:val="4"/>
              </w:numPr>
            </w:pPr>
            <w:r>
              <w:t>Host a joint infection prevention educational conference to provide continuing education and network with industry partners by September 2023</w:t>
            </w:r>
          </w:p>
          <w:p w14:paraId="13C5A733" w14:textId="3035381B" w:rsidR="00A5672D" w:rsidRDefault="00A5672D" w:rsidP="00A5672D">
            <w:pPr>
              <w:pStyle w:val="ListParagraph"/>
              <w:numPr>
                <w:ilvl w:val="0"/>
                <w:numId w:val="4"/>
              </w:numPr>
            </w:pPr>
            <w:r>
              <w:t>Host a virtual infection prevention educational webinar geared towards California SNF &amp; LTCF IPs by November 2023</w:t>
            </w:r>
          </w:p>
          <w:p w14:paraId="04B63B8E" w14:textId="77777777" w:rsidR="00126E96" w:rsidRDefault="00126E96" w:rsidP="00126E96">
            <w:pPr>
              <w:pStyle w:val="ListParagraph"/>
              <w:ind w:left="1201"/>
            </w:pPr>
          </w:p>
          <w:p w14:paraId="20AC07BA" w14:textId="77777777" w:rsidR="00A5672D" w:rsidRDefault="00A5672D" w:rsidP="00A5672D">
            <w:pPr>
              <w:ind w:left="481"/>
            </w:pPr>
            <w:r>
              <w:t>Champion the scientific advancement and practice of infection prevention and control</w:t>
            </w:r>
          </w:p>
          <w:p w14:paraId="6EC34FE0" w14:textId="62EE194D" w:rsidR="00A5672D" w:rsidRDefault="00A5672D" w:rsidP="00A5672D">
            <w:pPr>
              <w:pStyle w:val="ListParagraph"/>
              <w:numPr>
                <w:ilvl w:val="0"/>
                <w:numId w:val="5"/>
              </w:numPr>
              <w:ind w:left="1201"/>
            </w:pPr>
            <w:r>
              <w:t xml:space="preserve">Presentation on research </w:t>
            </w:r>
            <w:r w:rsidR="006647A1">
              <w:t>process could be a possibility.</w:t>
            </w:r>
          </w:p>
          <w:p w14:paraId="634D84CC" w14:textId="77777777" w:rsidR="00126E96" w:rsidRDefault="00126E96" w:rsidP="00126E96">
            <w:pPr>
              <w:pStyle w:val="ListParagraph"/>
              <w:ind w:left="1201"/>
            </w:pPr>
          </w:p>
          <w:p w14:paraId="1F0C26B2" w14:textId="77777777" w:rsidR="00A5672D" w:rsidRDefault="00A5672D" w:rsidP="0016781C">
            <w:r>
              <w:t xml:space="preserve">Budget deferred to February meeting. </w:t>
            </w:r>
          </w:p>
          <w:p w14:paraId="2B983CDB" w14:textId="2FEC808B" w:rsidR="00126E96" w:rsidRPr="00912BCB" w:rsidRDefault="00126E96" w:rsidP="0016781C"/>
        </w:tc>
        <w:tc>
          <w:tcPr>
            <w:tcW w:w="2315" w:type="dxa"/>
          </w:tcPr>
          <w:p w14:paraId="0A6366D8" w14:textId="739DFEBD" w:rsidR="00A5672D" w:rsidRPr="00912BCB" w:rsidRDefault="000D0D40" w:rsidP="00517E9D">
            <w:r>
              <w:t>None</w:t>
            </w:r>
          </w:p>
        </w:tc>
      </w:tr>
      <w:tr w:rsidR="00A5672D" w:rsidRPr="00912BCB" w14:paraId="6B5E2836" w14:textId="77777777" w:rsidTr="000D0D40">
        <w:tc>
          <w:tcPr>
            <w:tcW w:w="2070" w:type="dxa"/>
          </w:tcPr>
          <w:p w14:paraId="0462D3BC" w14:textId="450F64F5" w:rsidR="00A5672D" w:rsidRPr="00912BCB" w:rsidRDefault="00511AB0" w:rsidP="00511AB0">
            <w:pPr>
              <w:ind w:left="240" w:hanging="240"/>
            </w:pPr>
            <w:r>
              <w:t>5. Membership Report</w:t>
            </w:r>
          </w:p>
        </w:tc>
        <w:tc>
          <w:tcPr>
            <w:tcW w:w="1606" w:type="dxa"/>
          </w:tcPr>
          <w:p w14:paraId="5E618ABE" w14:textId="536C95F7" w:rsidR="00A5672D" w:rsidRDefault="006647A1" w:rsidP="00C8544E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5F1484BF" w14:textId="6CE49F42" w:rsidR="00A5672D" w:rsidRDefault="006647A1" w:rsidP="0016781C">
            <w:r>
              <w:t>Deferred to February Meeting.</w:t>
            </w:r>
          </w:p>
        </w:tc>
        <w:tc>
          <w:tcPr>
            <w:tcW w:w="2315" w:type="dxa"/>
          </w:tcPr>
          <w:p w14:paraId="3135788B" w14:textId="0750FDC6" w:rsidR="00A5672D" w:rsidRPr="00912BCB" w:rsidRDefault="000F05FD" w:rsidP="0016781C">
            <w:r>
              <w:t>None</w:t>
            </w:r>
          </w:p>
        </w:tc>
      </w:tr>
      <w:tr w:rsidR="00A5672D" w:rsidRPr="00912BCB" w14:paraId="02BCB7DB" w14:textId="77777777" w:rsidTr="000D0D40">
        <w:tc>
          <w:tcPr>
            <w:tcW w:w="2070" w:type="dxa"/>
          </w:tcPr>
          <w:p w14:paraId="27E6D3FA" w14:textId="485FC047" w:rsidR="00A5672D" w:rsidRPr="00912BCB" w:rsidRDefault="00A5672D" w:rsidP="00511AB0">
            <w:pPr>
              <w:ind w:left="240" w:hanging="240"/>
            </w:pPr>
            <w:r w:rsidRPr="00912BCB">
              <w:t xml:space="preserve">6. Treasurer’s Report </w:t>
            </w:r>
          </w:p>
        </w:tc>
        <w:tc>
          <w:tcPr>
            <w:tcW w:w="1606" w:type="dxa"/>
          </w:tcPr>
          <w:p w14:paraId="5D5EF796" w14:textId="150EFA23" w:rsidR="00A5672D" w:rsidRPr="00912BCB" w:rsidRDefault="006647A1" w:rsidP="00C8544E">
            <w:r>
              <w:t>Viviana Parra</w:t>
            </w:r>
          </w:p>
        </w:tc>
        <w:tc>
          <w:tcPr>
            <w:tcW w:w="8399" w:type="dxa"/>
          </w:tcPr>
          <w:p w14:paraId="661B33BB" w14:textId="77777777" w:rsidR="00B910D7" w:rsidRDefault="00B910D7" w:rsidP="00126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November 2022 Treasurer’s Report </w:t>
            </w:r>
          </w:p>
          <w:p w14:paraId="5CB14B74" w14:textId="77777777" w:rsidR="00B910D7" w:rsidRDefault="00B910D7" w:rsidP="00126E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2B4D84" w14:textId="2431D1A9" w:rsidR="00126E96" w:rsidRPr="00B910D7" w:rsidRDefault="00126E96" w:rsidP="00B910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Beginning Checking </w:t>
            </w:r>
            <w:r w:rsidR="00B910D7" w:rsidRPr="00B910D7">
              <w:rPr>
                <w:rFonts w:asciiTheme="majorHAnsi" w:hAnsiTheme="majorHAnsi" w:cstheme="majorHAnsi"/>
                <w:sz w:val="24"/>
                <w:szCs w:val="24"/>
              </w:rPr>
              <w:t>11/01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/2022 </w:t>
            </w:r>
            <w:r w:rsidR="00B910D7"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B910D7"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$9,143.19</w:t>
            </w:r>
          </w:p>
          <w:p w14:paraId="32499EFD" w14:textId="77777777" w:rsidR="00126E96" w:rsidRPr="007B7D97" w:rsidRDefault="00126E96" w:rsidP="00126E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59BDA7" w14:textId="77777777" w:rsidR="00E54C28" w:rsidRPr="00E54C28" w:rsidRDefault="00E54C28" w:rsidP="00E54C28">
            <w:pPr>
              <w:ind w:left="2761" w:hanging="207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54C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Cash Flow</w:t>
            </w:r>
          </w:p>
          <w:p w14:paraId="2C46F2C0" w14:textId="77777777" w:rsidR="00E54C28" w:rsidRDefault="00E54C28" w:rsidP="00B910D7">
            <w:pPr>
              <w:ind w:left="2761" w:hanging="207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7040AA" w14:textId="77777777" w:rsidR="00967323" w:rsidRDefault="00E54C28" w:rsidP="00967323">
            <w:pPr>
              <w:tabs>
                <w:tab w:val="left" w:pos="1096"/>
              </w:tabs>
              <w:ind w:left="3211" w:hanging="25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126E96"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Deposits: </w:t>
            </w:r>
            <w:r w:rsidR="0096732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</w:t>
            </w:r>
            <w:r w:rsidR="00B910D7"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$4,859.37 </w:t>
            </w:r>
          </w:p>
          <w:p w14:paraId="1CA3F54B" w14:textId="49E572C1" w:rsidR="00B910D7" w:rsidRDefault="00B910D7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(long-term care conference/Inland Empire payment for </w:t>
            </w:r>
            <w:r w:rsidR="00E54C28">
              <w:rPr>
                <w:rFonts w:asciiTheme="majorHAnsi" w:hAnsiTheme="majorHAnsi" w:cstheme="majorHAnsi"/>
                <w:sz w:val="24"/>
                <w:szCs w:val="24"/>
              </w:rPr>
              <w:t xml:space="preserve">annual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conference)</w:t>
            </w:r>
          </w:p>
          <w:p w14:paraId="2DB39513" w14:textId="77777777" w:rsidR="00967323" w:rsidRDefault="00E54C28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126E96"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Disbursements: </w:t>
            </w:r>
            <w:r w:rsidR="0096732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</w:t>
            </w:r>
            <w:r w:rsidR="00126E96"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</w:t>
            </w:r>
            <w:r w:rsidR="00B910D7"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563.66</w:t>
            </w:r>
            <w:r w:rsidR="00126E9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CC31F23" w14:textId="276D787A" w:rsidR="00126E96" w:rsidRPr="007B7D97" w:rsidRDefault="00126E96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CAAC travel reimbursement/LTC refund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FF85999" w14:textId="77777777" w:rsidR="00B910D7" w:rsidRDefault="00B910D7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8E64EC" w14:textId="26DF44D6" w:rsidR="00126E96" w:rsidRPr="007B7D97" w:rsidRDefault="00126E96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Ending balance: 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/30/2022 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 xml:space="preserve">               </w:t>
            </w:r>
            <w:r w:rsidR="00B910D7"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$13,438.90</w:t>
            </w:r>
          </w:p>
          <w:p w14:paraId="05C27819" w14:textId="77777777" w:rsidR="00126E96" w:rsidRPr="007B7D97" w:rsidRDefault="00126E96" w:rsidP="00126E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C91EB7" w14:textId="545014B3" w:rsidR="00126E96" w:rsidRPr="00B910D7" w:rsidRDefault="00126E96" w:rsidP="00B910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Mutual Fund Investment: 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 1 – 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>, 202</w:t>
            </w:r>
            <w:r w:rsidR="00B910D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E886099" w14:textId="77777777" w:rsidR="00D86105" w:rsidRDefault="00D86105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AC58C2" w14:textId="6BEE3E79" w:rsidR="00126E96" w:rsidRPr="007B7D97" w:rsidRDefault="00126E96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Balance as of </w:t>
            </w:r>
            <w:r w:rsidR="00D86105"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 1, 202</w:t>
            </w:r>
            <w:r w:rsidR="00D86105">
              <w:rPr>
                <w:rFonts w:asciiTheme="majorHAnsi" w:hAnsiTheme="majorHAnsi" w:cstheme="majorHAnsi"/>
                <w:sz w:val="24"/>
                <w:szCs w:val="24"/>
              </w:rPr>
              <w:t xml:space="preserve">2          </w:t>
            </w:r>
            <w:r w:rsidR="00D86105" w:rsidRPr="00D861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$21,741.97</w:t>
            </w:r>
            <w:r w:rsidRPr="00D861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2D5AAC5" w14:textId="14BE7538" w:rsidR="00126E96" w:rsidRPr="00E13F7C" w:rsidRDefault="00E54C28" w:rsidP="00B910D7">
            <w:pPr>
              <w:ind w:firstLine="691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 </w:t>
            </w:r>
            <w:r w:rsidR="00126E96"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Income:  </w:t>
            </w:r>
            <w:r w:rsidR="00126E96" w:rsidRPr="00E13F7C">
              <w:rPr>
                <w:rFonts w:asciiTheme="majorHAnsi" w:hAnsiTheme="majorHAnsi" w:cstheme="majorHAnsi"/>
                <w:sz w:val="24"/>
                <w:szCs w:val="24"/>
              </w:rPr>
              <w:t xml:space="preserve">$ </w:t>
            </w:r>
            <w:r w:rsidR="00E13F7C" w:rsidRPr="00E13F7C">
              <w:rPr>
                <w:rFonts w:asciiTheme="majorHAnsi" w:hAnsiTheme="majorHAnsi" w:cstheme="majorHAnsi"/>
                <w:sz w:val="24"/>
                <w:szCs w:val="24"/>
              </w:rPr>
              <w:t>0.01</w:t>
            </w:r>
          </w:p>
          <w:p w14:paraId="3A052C6C" w14:textId="568899B2" w:rsidR="00126E96" w:rsidRPr="00E13F7C" w:rsidRDefault="00126E96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ab/>
            </w:r>
            <w:r w:rsidR="00E54C2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</w:t>
            </w: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Fees</w:t>
            </w:r>
            <w:r w:rsidR="00E54C2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:  </w:t>
            </w:r>
            <w:r w:rsidR="00E13F7C"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E54C2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 xml:space="preserve">$ </w:t>
            </w:r>
            <w:r w:rsidR="00E13F7C" w:rsidRPr="00E13F7C">
              <w:rPr>
                <w:rFonts w:asciiTheme="majorHAnsi" w:hAnsiTheme="majorHAnsi" w:cstheme="majorHAnsi"/>
                <w:sz w:val="24"/>
                <w:szCs w:val="24"/>
              </w:rPr>
              <w:t>0.00</w:t>
            </w:r>
          </w:p>
          <w:p w14:paraId="748C5D74" w14:textId="1722D778" w:rsidR="00126E96" w:rsidRPr="00E13F7C" w:rsidRDefault="00126E96" w:rsidP="00E54C28">
            <w:pPr>
              <w:tabs>
                <w:tab w:val="left" w:pos="1066"/>
              </w:tabs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Change in Investmen</w:t>
            </w:r>
            <w:r w:rsidR="00E13F7C"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 Value: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E13F7C" w:rsidRPr="00E13F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(1,</w:t>
            </w:r>
            <w:r w:rsidR="00E13F7C" w:rsidRPr="00E13F7C">
              <w:rPr>
                <w:rFonts w:asciiTheme="majorHAnsi" w:hAnsiTheme="majorHAnsi" w:cstheme="majorHAnsi"/>
                <w:sz w:val="24"/>
                <w:szCs w:val="24"/>
              </w:rPr>
              <w:t>180.92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7EA3070" w14:textId="77777777" w:rsidR="00126E96" w:rsidRPr="007B7D97" w:rsidRDefault="00126E96" w:rsidP="00B910D7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E5958C" w14:textId="77777777" w:rsidR="00AE40A0" w:rsidRDefault="00AE40A0" w:rsidP="00AE40A0">
            <w:pPr>
              <w:tabs>
                <w:tab w:val="left" w:pos="4561"/>
              </w:tabs>
              <w:ind w:firstLine="691"/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Balance as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November 30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E54C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$22,922.90</w:t>
            </w:r>
          </w:p>
          <w:p w14:paraId="401C1085" w14:textId="77777777" w:rsidR="00E54C28" w:rsidRDefault="00E54C28" w:rsidP="00E54C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B2893D" w14:textId="48DA2E86" w:rsidR="00E54C28" w:rsidRDefault="00E54C28" w:rsidP="00E54C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December 2022 Treasurer’s Report </w:t>
            </w:r>
          </w:p>
          <w:p w14:paraId="204796A5" w14:textId="77777777" w:rsidR="00E54C28" w:rsidRDefault="00E54C28" w:rsidP="00E54C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6AF53B" w14:textId="4B262C0F" w:rsidR="00E54C28" w:rsidRPr="00B910D7" w:rsidRDefault="00E54C28" w:rsidP="00E54C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>Beginning Checking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/01/2022         </w:t>
            </w:r>
            <w:r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$13,438.90</w:t>
            </w:r>
          </w:p>
          <w:p w14:paraId="234EC89A" w14:textId="77777777" w:rsidR="00E54C28" w:rsidRPr="007B7D97" w:rsidRDefault="00E54C28" w:rsidP="00E54C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251A1" w14:textId="1EF06236" w:rsidR="00E54C28" w:rsidRPr="00E54C28" w:rsidRDefault="00E54C28" w:rsidP="00E54C28">
            <w:pPr>
              <w:ind w:left="2761" w:hanging="207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54C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Cash Flow</w:t>
            </w:r>
          </w:p>
          <w:p w14:paraId="113C6B8F" w14:textId="77777777" w:rsidR="00E54C28" w:rsidRDefault="00E54C28" w:rsidP="00E54C28">
            <w:pPr>
              <w:ind w:left="2761" w:hanging="207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F62FDC" w14:textId="7014273C" w:rsidR="00967323" w:rsidRDefault="00E54C28" w:rsidP="00967323">
            <w:pPr>
              <w:ind w:left="3211" w:hanging="25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Deposits: </w:t>
            </w:r>
            <w:r w:rsidR="0096732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</w:t>
            </w:r>
            <w:r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8,267.86</w:t>
            </w:r>
            <w:r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07292A4" w14:textId="492AC548" w:rsidR="00E54C28" w:rsidRDefault="00967323" w:rsidP="00967323">
            <w:pPr>
              <w:ind w:left="2041" w:hanging="135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</w:t>
            </w:r>
            <w:r w:rsidR="00E54C28">
              <w:rPr>
                <w:rFonts w:asciiTheme="majorHAnsi" w:hAnsiTheme="majorHAnsi" w:cstheme="majorHAnsi"/>
                <w:sz w:val="24"/>
                <w:szCs w:val="24"/>
              </w:rPr>
              <w:t>(Auction Donation, CACC Foundations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54C28">
              <w:rPr>
                <w:rFonts w:asciiTheme="majorHAnsi" w:hAnsiTheme="majorHAnsi" w:cstheme="majorHAnsi"/>
                <w:sz w:val="24"/>
                <w:szCs w:val="24"/>
              </w:rPr>
              <w:t>Disbursement/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54C28">
              <w:rPr>
                <w:rFonts w:asciiTheme="majorHAnsi" w:hAnsiTheme="majorHAnsi" w:cstheme="majorHAnsi"/>
                <w:sz w:val="24"/>
                <w:szCs w:val="24"/>
              </w:rPr>
              <w:t>Hosting)</w:t>
            </w:r>
          </w:p>
          <w:p w14:paraId="5ECF2F23" w14:textId="32D6A8BD" w:rsidR="00967323" w:rsidRDefault="00E54C28" w:rsidP="00967323">
            <w:pPr>
              <w:ind w:left="4021" w:hanging="333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Disbursements: </w:t>
            </w:r>
            <w:r w:rsidR="00967323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</w:t>
            </w:r>
            <w:r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</w:t>
            </w:r>
            <w:r w:rsidR="009673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11,296.08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670571F" w14:textId="754DDECA" w:rsidR="00E54C28" w:rsidRPr="007B7D97" w:rsidRDefault="00967323" w:rsidP="00967323">
            <w:pPr>
              <w:ind w:left="2041" w:hanging="81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</w:t>
            </w:r>
            <w:r w:rsidR="00E54C2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CACC Chapter Dues, Gary Sinise Donation, Holiday Party, B</w:t>
            </w:r>
            <w:r w:rsidR="006713A5">
              <w:rPr>
                <w:rFonts w:asciiTheme="majorHAnsi" w:hAnsiTheme="majorHAnsi" w:cstheme="majorHAnsi"/>
                <w:sz w:val="24"/>
                <w:szCs w:val="24"/>
              </w:rPr>
              <w:t>oard of Director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Gifts)</w:t>
            </w:r>
          </w:p>
          <w:p w14:paraId="7ECB2D47" w14:textId="77777777" w:rsidR="00E54C28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950802" w14:textId="4BFE70D8" w:rsidR="00E54C28" w:rsidRPr="007B7D97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Ending balance: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30028">
              <w:rPr>
                <w:rFonts w:asciiTheme="majorHAnsi" w:hAnsiTheme="majorHAnsi" w:cstheme="majorHAnsi"/>
                <w:sz w:val="24"/>
                <w:szCs w:val="24"/>
              </w:rPr>
              <w:t>2/31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/2022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</w:t>
            </w:r>
            <w:r w:rsidRPr="00B91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$1</w:t>
            </w:r>
            <w:r w:rsidR="00A300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0,410.68</w:t>
            </w:r>
          </w:p>
          <w:p w14:paraId="17612173" w14:textId="77777777" w:rsidR="00E54C28" w:rsidRPr="007B7D97" w:rsidRDefault="00E54C28" w:rsidP="00E54C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4D01C3" w14:textId="77777777" w:rsidR="00E54C28" w:rsidRPr="00B910D7" w:rsidRDefault="00E54C28" w:rsidP="00E54C2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Mutual Fund Investment: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 1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910D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949462C" w14:textId="77777777" w:rsidR="00E54C28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15BF88" w14:textId="77777777" w:rsidR="00E54C28" w:rsidRPr="007B7D97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Balance as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 1, 202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          </w:t>
            </w:r>
            <w:r w:rsidRPr="00D861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$21,741.97</w:t>
            </w:r>
            <w:r w:rsidRPr="00D861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A54A7E8" w14:textId="77777777" w:rsidR="00E54C28" w:rsidRPr="00E13F7C" w:rsidRDefault="00E54C28" w:rsidP="00E54C28">
            <w:pPr>
              <w:ind w:firstLine="691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 </w:t>
            </w: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Income: 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$ 0.01</w:t>
            </w:r>
          </w:p>
          <w:p w14:paraId="3CBA2CDF" w14:textId="77777777" w:rsidR="00E54C28" w:rsidRPr="00E13F7C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</w:t>
            </w: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Fees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:  </w:t>
            </w: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$ 0.00</w:t>
            </w:r>
          </w:p>
          <w:p w14:paraId="4D584CB0" w14:textId="77777777" w:rsidR="00E54C28" w:rsidRPr="00E13F7C" w:rsidRDefault="00E54C28" w:rsidP="00E54C28">
            <w:pPr>
              <w:tabs>
                <w:tab w:val="left" w:pos="1066"/>
              </w:tabs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  <w:r w:rsidRPr="00E13F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Change in Investment Value: </w:t>
            </w:r>
            <w:r w:rsidRPr="00E13F7C">
              <w:rPr>
                <w:rFonts w:asciiTheme="majorHAnsi" w:hAnsiTheme="majorHAnsi" w:cstheme="majorHAnsi"/>
                <w:sz w:val="24"/>
                <w:szCs w:val="24"/>
              </w:rPr>
              <w:t>$ (1,180.92)</w:t>
            </w:r>
          </w:p>
          <w:p w14:paraId="1D5916AB" w14:textId="77777777" w:rsidR="00E54C28" w:rsidRPr="007B7D97" w:rsidRDefault="00E54C28" w:rsidP="00E54C28">
            <w:pPr>
              <w:ind w:firstLine="69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C74E72" w14:textId="7FB5DAA0" w:rsidR="00E54C28" w:rsidRDefault="00E54C28" w:rsidP="00967323">
            <w:pPr>
              <w:tabs>
                <w:tab w:val="left" w:pos="4561"/>
              </w:tabs>
              <w:ind w:firstLine="691"/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Balance as of </w:t>
            </w:r>
            <w:r w:rsidR="00AE40A0">
              <w:rPr>
                <w:rFonts w:asciiTheme="majorHAnsi" w:hAnsiTheme="majorHAnsi" w:cstheme="majorHAnsi"/>
                <w:sz w:val="24"/>
                <w:szCs w:val="24"/>
              </w:rPr>
              <w:t>November 30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, 202</w:t>
            </w:r>
            <w:r w:rsidR="00AE40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67323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E54C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$22,922.90</w:t>
            </w:r>
          </w:p>
          <w:p w14:paraId="1F4D0BB3" w14:textId="77777777" w:rsidR="00A5672D" w:rsidRPr="00912BCB" w:rsidRDefault="00A5672D" w:rsidP="0016781C"/>
        </w:tc>
        <w:tc>
          <w:tcPr>
            <w:tcW w:w="2315" w:type="dxa"/>
          </w:tcPr>
          <w:p w14:paraId="69C697DC" w14:textId="49245119" w:rsidR="00A5672D" w:rsidRPr="00912BCB" w:rsidRDefault="000F05FD" w:rsidP="0016781C">
            <w:r>
              <w:lastRenderedPageBreak/>
              <w:t>None</w:t>
            </w:r>
          </w:p>
        </w:tc>
      </w:tr>
      <w:tr w:rsidR="00A5672D" w:rsidRPr="00912BCB" w14:paraId="496AFD8A" w14:textId="77777777" w:rsidTr="000D0D40">
        <w:tc>
          <w:tcPr>
            <w:tcW w:w="2070" w:type="dxa"/>
          </w:tcPr>
          <w:p w14:paraId="1CE5F360" w14:textId="0061B800" w:rsidR="00A5672D" w:rsidRPr="00912BCB" w:rsidRDefault="00A5672D" w:rsidP="00511AB0">
            <w:pPr>
              <w:ind w:left="240" w:hanging="240"/>
            </w:pPr>
            <w:r w:rsidRPr="00912BCB">
              <w:t>7. Education Report</w:t>
            </w:r>
          </w:p>
        </w:tc>
        <w:tc>
          <w:tcPr>
            <w:tcW w:w="1606" w:type="dxa"/>
          </w:tcPr>
          <w:p w14:paraId="3CB660CD" w14:textId="0A6F8CA0" w:rsidR="00A5672D" w:rsidRPr="00912BCB" w:rsidRDefault="006713A5" w:rsidP="0016781C">
            <w:r>
              <w:t>Jessica Alicdan</w:t>
            </w:r>
          </w:p>
        </w:tc>
        <w:tc>
          <w:tcPr>
            <w:tcW w:w="8399" w:type="dxa"/>
          </w:tcPr>
          <w:p w14:paraId="07AB57F9" w14:textId="77777777" w:rsidR="006713A5" w:rsidRDefault="006713A5" w:rsidP="008502B7">
            <w:r>
              <w:t>Evaluation Needs Assessment</w:t>
            </w:r>
          </w:p>
          <w:p w14:paraId="7939D4B9" w14:textId="77777777" w:rsidR="006713A5" w:rsidRDefault="006713A5" w:rsidP="006713A5">
            <w:pPr>
              <w:pStyle w:val="ListParagraph"/>
              <w:numPr>
                <w:ilvl w:val="0"/>
                <w:numId w:val="10"/>
              </w:numPr>
            </w:pPr>
            <w:r>
              <w:t>14 Responses</w:t>
            </w:r>
          </w:p>
          <w:p w14:paraId="54905F84" w14:textId="149AF1AE" w:rsidR="006713A5" w:rsidRDefault="006713A5" w:rsidP="006713A5">
            <w:pPr>
              <w:pStyle w:val="ListParagraph"/>
              <w:numPr>
                <w:ilvl w:val="1"/>
                <w:numId w:val="10"/>
              </w:numPr>
            </w:pPr>
            <w:r>
              <w:t xml:space="preserve">More than half planning on renewing/recertifying </w:t>
            </w:r>
          </w:p>
          <w:p w14:paraId="1B386170" w14:textId="70CFB874" w:rsidR="006713A5" w:rsidRDefault="006713A5" w:rsidP="006713A5">
            <w:pPr>
              <w:pStyle w:val="ListParagraph"/>
              <w:numPr>
                <w:ilvl w:val="1"/>
                <w:numId w:val="10"/>
              </w:numPr>
            </w:pPr>
            <w:r>
              <w:t>Half interested in CIC Prep Course</w:t>
            </w:r>
          </w:p>
          <w:p w14:paraId="6BE42489" w14:textId="3F29F472" w:rsidR="006713A5" w:rsidRDefault="006713A5" w:rsidP="006713A5">
            <w:pPr>
              <w:pStyle w:val="ListParagraph"/>
              <w:numPr>
                <w:ilvl w:val="1"/>
                <w:numId w:val="10"/>
              </w:numPr>
            </w:pPr>
            <w:r>
              <w:lastRenderedPageBreak/>
              <w:t>Some volunteers are interested in assisting with the Prep Course</w:t>
            </w:r>
          </w:p>
          <w:p w14:paraId="4557F582" w14:textId="028C5A9A" w:rsidR="006713A5" w:rsidRDefault="006713A5" w:rsidP="006713A5">
            <w:pPr>
              <w:pStyle w:val="ListParagraph"/>
              <w:numPr>
                <w:ilvl w:val="1"/>
                <w:numId w:val="10"/>
              </w:numPr>
            </w:pPr>
            <w:r>
              <w:t>Multiple suggested topics for chapter meetings</w:t>
            </w:r>
          </w:p>
          <w:p w14:paraId="46AC76DD" w14:textId="3042F079" w:rsidR="006713A5" w:rsidRDefault="006713A5" w:rsidP="006713A5">
            <w:pPr>
              <w:pStyle w:val="ListParagraph"/>
              <w:numPr>
                <w:ilvl w:val="1"/>
                <w:numId w:val="10"/>
              </w:numPr>
            </w:pPr>
            <w:r>
              <w:t xml:space="preserve">Top </w:t>
            </w:r>
            <w:proofErr w:type="gramStart"/>
            <w:r>
              <w:t>3</w:t>
            </w:r>
            <w:proofErr w:type="gramEnd"/>
            <w:r>
              <w:t xml:space="preserve"> suggested topics were 1. S</w:t>
            </w:r>
            <w:r w:rsidRPr="006713A5">
              <w:t xml:space="preserve">urveillance and </w:t>
            </w:r>
            <w:r>
              <w:t>E</w:t>
            </w:r>
            <w:r w:rsidRPr="006713A5">
              <w:t xml:space="preserve">pidemiological </w:t>
            </w:r>
            <w:r>
              <w:t>I</w:t>
            </w:r>
            <w:r w:rsidRPr="006713A5">
              <w:t>nvestigations</w:t>
            </w:r>
            <w:r>
              <w:t xml:space="preserve"> 2. C</w:t>
            </w:r>
            <w:r w:rsidRPr="006713A5">
              <w:t xml:space="preserve">leaning, </w:t>
            </w:r>
            <w:r>
              <w:t>D</w:t>
            </w:r>
            <w:r w:rsidRPr="006713A5">
              <w:t xml:space="preserve">isinfection and </w:t>
            </w:r>
            <w:r>
              <w:t>S</w:t>
            </w:r>
            <w:r w:rsidRPr="006713A5">
              <w:t>terilization</w:t>
            </w:r>
            <w:r>
              <w:t xml:space="preserve"> 3. P</w:t>
            </w:r>
            <w:r w:rsidRPr="006713A5">
              <w:t xml:space="preserve">ractice settings and services </w:t>
            </w:r>
            <w:r>
              <w:t xml:space="preserve">(ie. </w:t>
            </w:r>
            <w:r w:rsidRPr="006713A5">
              <w:t xml:space="preserve">specialty care </w:t>
            </w:r>
            <w:r>
              <w:t xml:space="preserve">and/or </w:t>
            </w:r>
            <w:r w:rsidRPr="006713A5">
              <w:t>ambulatory settings</w:t>
            </w:r>
            <w:r>
              <w:t>)</w:t>
            </w:r>
          </w:p>
          <w:p w14:paraId="77F11A15" w14:textId="77777777" w:rsidR="006713A5" w:rsidRDefault="006713A5" w:rsidP="008502B7"/>
          <w:p w14:paraId="282A266C" w14:textId="7C1064F1" w:rsidR="00A5672D" w:rsidRDefault="006713A5" w:rsidP="008502B7">
            <w:r>
              <w:t>2023 Education Goal</w:t>
            </w:r>
          </w:p>
          <w:p w14:paraId="471FFA75" w14:textId="46DAB2A0" w:rsidR="006713A5" w:rsidRDefault="000D0D40" w:rsidP="006713A5">
            <w:pPr>
              <w:pStyle w:val="ListParagraph"/>
              <w:numPr>
                <w:ilvl w:val="0"/>
                <w:numId w:val="8"/>
              </w:numPr>
              <w:ind w:left="691" w:hanging="270"/>
            </w:pPr>
            <w:r>
              <w:t>5</w:t>
            </w:r>
            <w:r w:rsidR="006713A5">
              <w:t>% Increase of CIC Certifications</w:t>
            </w:r>
          </w:p>
          <w:p w14:paraId="7410BD85" w14:textId="77777777" w:rsidR="00A5672D" w:rsidRDefault="00A5672D" w:rsidP="008502B7"/>
          <w:p w14:paraId="57F0FD86" w14:textId="04C9716E" w:rsidR="006713A5" w:rsidRPr="006713A5" w:rsidRDefault="006713A5" w:rsidP="006713A5">
            <w:r w:rsidRPr="006713A5">
              <w:t>Feedback for 2023</w:t>
            </w:r>
          </w:p>
          <w:p w14:paraId="533AF57D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Request for more networking opportunities and socializing time </w:t>
            </w:r>
          </w:p>
          <w:p w14:paraId="17E8A743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>Lessons learned from other IPs</w:t>
            </w:r>
          </w:p>
          <w:p w14:paraId="53656990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>More participation (e.g., speakers and audience)</w:t>
            </w:r>
          </w:p>
          <w:p w14:paraId="748FAA4D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>Policy and competency sharing</w:t>
            </w:r>
          </w:p>
          <w:p w14:paraId="468548E1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Learn what other hospitals are doing to prepare for surveys </w:t>
            </w:r>
          </w:p>
          <w:p w14:paraId="0249B1CA" w14:textId="6E0B8E30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More education topics to </w:t>
            </w:r>
            <w:r w:rsidR="0097664E">
              <w:t>determine</w:t>
            </w:r>
            <w:r w:rsidRPr="006713A5">
              <w:t xml:space="preserve"> “hot button” issues with APIC </w:t>
            </w:r>
            <w:r w:rsidR="0097664E">
              <w:t>m</w:t>
            </w:r>
            <w:r w:rsidRPr="006713A5">
              <w:t xml:space="preserve">embers </w:t>
            </w:r>
          </w:p>
          <w:p w14:paraId="603641E3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Discussion of current issues and shared practices </w:t>
            </w:r>
          </w:p>
          <w:p w14:paraId="1C8A8174" w14:textId="51FA2CB4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More games during meeting, </w:t>
            </w:r>
            <w:r w:rsidR="0097664E" w:rsidRPr="006713A5">
              <w:t>Kahoot!</w:t>
            </w:r>
            <w:r w:rsidRPr="006713A5">
              <w:t xml:space="preserve"> interaction </w:t>
            </w:r>
          </w:p>
          <w:p w14:paraId="0894FD69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More local expert talks </w:t>
            </w:r>
          </w:p>
          <w:p w14:paraId="56CA5672" w14:textId="77777777" w:rsidR="006713A5" w:rsidRPr="006713A5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 xml:space="preserve">Randomized rotating “pen pal” to network and connect with a template of questions to get to know each other more </w:t>
            </w:r>
          </w:p>
          <w:p w14:paraId="414391AD" w14:textId="2B634130" w:rsidR="00A5672D" w:rsidRDefault="006713A5" w:rsidP="006713A5">
            <w:pPr>
              <w:pStyle w:val="ListParagraph"/>
              <w:numPr>
                <w:ilvl w:val="0"/>
                <w:numId w:val="12"/>
              </w:numPr>
              <w:ind w:left="691"/>
            </w:pPr>
            <w:r w:rsidRPr="006713A5">
              <w:t>“Top of Mind” challenges from APIC so that we as manufacturers can provide more feedback on “what we are not providing” that can help the IPs on the floors</w:t>
            </w:r>
          </w:p>
          <w:p w14:paraId="58386526" w14:textId="77777777" w:rsidR="00A5672D" w:rsidRDefault="00A5672D" w:rsidP="008502B7"/>
          <w:p w14:paraId="068D51B4" w14:textId="3204C88F" w:rsidR="00A5672D" w:rsidRDefault="00E97A34" w:rsidP="008502B7">
            <w:r>
              <w:t>Mentorship Program</w:t>
            </w:r>
          </w:p>
          <w:p w14:paraId="7C8ED2F0" w14:textId="67C9D402" w:rsidR="00E97A34" w:rsidRDefault="00E97A34" w:rsidP="00E97A34">
            <w:pPr>
              <w:pStyle w:val="ListParagraph"/>
              <w:numPr>
                <w:ilvl w:val="0"/>
                <w:numId w:val="13"/>
              </w:numPr>
            </w:pPr>
            <w:r>
              <w:t xml:space="preserve">Increased response this year, from </w:t>
            </w:r>
            <w:proofErr w:type="gramStart"/>
            <w:r>
              <w:t>3</w:t>
            </w:r>
            <w:proofErr w:type="gramEnd"/>
            <w:r>
              <w:t xml:space="preserve"> responses in 2022 to 40 for 2023. </w:t>
            </w:r>
          </w:p>
          <w:p w14:paraId="44D74192" w14:textId="0AD3DCB5" w:rsidR="00277F4A" w:rsidRDefault="00277F4A" w:rsidP="00277F4A">
            <w:pPr>
              <w:pStyle w:val="ListParagraph"/>
              <w:numPr>
                <w:ilvl w:val="1"/>
                <w:numId w:val="10"/>
              </w:numPr>
            </w:pPr>
            <w:r>
              <w:t>Half not interested in mentorship program</w:t>
            </w:r>
          </w:p>
          <w:p w14:paraId="7CC6BA95" w14:textId="0DC68B9A" w:rsidR="00277F4A" w:rsidRDefault="00277F4A" w:rsidP="00277F4A">
            <w:pPr>
              <w:pStyle w:val="ListParagraph"/>
              <w:numPr>
                <w:ilvl w:val="1"/>
                <w:numId w:val="10"/>
              </w:numPr>
            </w:pPr>
            <w:r>
              <w:t>22.5% would like to be mentored</w:t>
            </w:r>
          </w:p>
          <w:p w14:paraId="14E65D47" w14:textId="0BF220E2" w:rsidR="00277F4A" w:rsidRDefault="00277F4A" w:rsidP="00277F4A">
            <w:pPr>
              <w:pStyle w:val="ListParagraph"/>
              <w:numPr>
                <w:ilvl w:val="1"/>
                <w:numId w:val="10"/>
              </w:numPr>
            </w:pPr>
            <w:r>
              <w:t>27.5% would like to be a mentor</w:t>
            </w:r>
          </w:p>
          <w:p w14:paraId="412CC54E" w14:textId="77777777" w:rsidR="00A5672D" w:rsidRPr="00912BCB" w:rsidRDefault="00A5672D" w:rsidP="0016781C"/>
        </w:tc>
        <w:tc>
          <w:tcPr>
            <w:tcW w:w="2315" w:type="dxa"/>
          </w:tcPr>
          <w:p w14:paraId="5E9118E7" w14:textId="77777777" w:rsidR="006713A5" w:rsidRDefault="006713A5" w:rsidP="0016781C"/>
          <w:p w14:paraId="4D76B9FE" w14:textId="77777777" w:rsidR="006713A5" w:rsidRDefault="006713A5" w:rsidP="0016781C"/>
          <w:p w14:paraId="6AFDE3AA" w14:textId="74F9DDAD" w:rsidR="006713A5" w:rsidRDefault="006713A5" w:rsidP="0016781C"/>
          <w:p w14:paraId="6E8401BE" w14:textId="77777777" w:rsidR="006713A5" w:rsidRDefault="006713A5" w:rsidP="0016781C"/>
          <w:p w14:paraId="22D6437B" w14:textId="77777777" w:rsidR="006713A5" w:rsidRDefault="006713A5" w:rsidP="0016781C"/>
          <w:p w14:paraId="05F86486" w14:textId="1E1ED97C" w:rsidR="00A5672D" w:rsidRDefault="006713A5" w:rsidP="0016781C">
            <w:r>
              <w:t xml:space="preserve">Planning </w:t>
            </w:r>
            <w:proofErr w:type="gramStart"/>
            <w:r>
              <w:t>on having</w:t>
            </w:r>
            <w:proofErr w:type="gramEnd"/>
            <w:r>
              <w:t xml:space="preserve"> a variety of speakers and topics this year.</w:t>
            </w:r>
          </w:p>
          <w:p w14:paraId="709AF5C3" w14:textId="77777777" w:rsidR="006713A5" w:rsidRDefault="006713A5" w:rsidP="006713A5"/>
          <w:p w14:paraId="5572B744" w14:textId="77777777" w:rsidR="00E97A34" w:rsidRDefault="00E97A34" w:rsidP="006713A5"/>
          <w:p w14:paraId="2F0F1855" w14:textId="77777777" w:rsidR="00E97A34" w:rsidRDefault="00E97A34" w:rsidP="006713A5"/>
          <w:p w14:paraId="3F079D7E" w14:textId="77777777" w:rsidR="00E97A34" w:rsidRDefault="00E97A34" w:rsidP="006713A5"/>
          <w:p w14:paraId="67373066" w14:textId="77777777" w:rsidR="00E97A34" w:rsidRDefault="00E97A34" w:rsidP="006713A5"/>
          <w:p w14:paraId="3DE142B4" w14:textId="77777777" w:rsidR="00E97A34" w:rsidRDefault="00E97A34" w:rsidP="006713A5"/>
          <w:p w14:paraId="0348242E" w14:textId="77777777" w:rsidR="00E97A34" w:rsidRDefault="00E97A34" w:rsidP="006713A5"/>
          <w:p w14:paraId="0A4B5284" w14:textId="77777777" w:rsidR="00E97A34" w:rsidRDefault="00E97A34" w:rsidP="006713A5"/>
          <w:p w14:paraId="252158EF" w14:textId="77777777" w:rsidR="00E97A34" w:rsidRDefault="00E97A34" w:rsidP="006713A5"/>
          <w:p w14:paraId="1E3EBB23" w14:textId="77777777" w:rsidR="00E97A34" w:rsidRDefault="00E97A34" w:rsidP="006713A5"/>
          <w:p w14:paraId="2EB827C4" w14:textId="77777777" w:rsidR="00E97A34" w:rsidRDefault="00E97A34" w:rsidP="006713A5"/>
          <w:p w14:paraId="7A98C787" w14:textId="77777777" w:rsidR="00E97A34" w:rsidRDefault="00E97A34" w:rsidP="006713A5"/>
          <w:p w14:paraId="6834CE60" w14:textId="77777777" w:rsidR="00E97A34" w:rsidRDefault="00E97A34" w:rsidP="006713A5"/>
          <w:p w14:paraId="038B6E17" w14:textId="77777777" w:rsidR="00E97A34" w:rsidRDefault="00E97A34" w:rsidP="006713A5"/>
          <w:p w14:paraId="1ED03C38" w14:textId="77777777" w:rsidR="00E97A34" w:rsidRDefault="00E97A34" w:rsidP="006713A5"/>
          <w:p w14:paraId="476F056A" w14:textId="77777777" w:rsidR="00E97A34" w:rsidRDefault="00E97A34" w:rsidP="006713A5"/>
          <w:p w14:paraId="00EC79E5" w14:textId="77777777" w:rsidR="00E97A34" w:rsidRDefault="00E97A34" w:rsidP="006713A5"/>
          <w:p w14:paraId="0C48C17F" w14:textId="77777777" w:rsidR="00E97A34" w:rsidRDefault="00E97A34" w:rsidP="006713A5"/>
          <w:p w14:paraId="055EC868" w14:textId="77777777" w:rsidR="00E97A34" w:rsidRDefault="00E97A34" w:rsidP="006713A5"/>
          <w:p w14:paraId="0F96EA8A" w14:textId="77777777" w:rsidR="00E97A34" w:rsidRDefault="00E97A34" w:rsidP="006713A5"/>
          <w:p w14:paraId="2C066586" w14:textId="77777777" w:rsidR="00E97A34" w:rsidRDefault="00E97A34" w:rsidP="006713A5"/>
          <w:p w14:paraId="7F7D2182" w14:textId="77777777" w:rsidR="00E97A34" w:rsidRDefault="00E97A34" w:rsidP="006713A5"/>
          <w:p w14:paraId="6D9A097D" w14:textId="7C5994B6" w:rsidR="00E97A34" w:rsidRPr="006713A5" w:rsidRDefault="00E97A34" w:rsidP="006713A5">
            <w:r>
              <w:t>Implement new Mentorship Program for 2023, projected start Quarter 1</w:t>
            </w:r>
          </w:p>
        </w:tc>
      </w:tr>
      <w:tr w:rsidR="00335E26" w:rsidRPr="00912BCB" w14:paraId="2B2DB953" w14:textId="77777777" w:rsidTr="000D0D40">
        <w:trPr>
          <w:trHeight w:val="1403"/>
        </w:trPr>
        <w:tc>
          <w:tcPr>
            <w:tcW w:w="2070" w:type="dxa"/>
          </w:tcPr>
          <w:p w14:paraId="49709821" w14:textId="359A0867" w:rsidR="00335E26" w:rsidRPr="00912BCB" w:rsidRDefault="00335E26" w:rsidP="00511AB0">
            <w:pPr>
              <w:ind w:left="240" w:hanging="240"/>
            </w:pPr>
            <w:r>
              <w:lastRenderedPageBreak/>
              <w:t>8. Legislative Report</w:t>
            </w:r>
          </w:p>
        </w:tc>
        <w:tc>
          <w:tcPr>
            <w:tcW w:w="1606" w:type="dxa"/>
          </w:tcPr>
          <w:p w14:paraId="7F89138F" w14:textId="68E3F27F" w:rsidR="00335E26" w:rsidRDefault="00335E26" w:rsidP="0016781C">
            <w:r>
              <w:t>Kim Delahanty</w:t>
            </w:r>
          </w:p>
        </w:tc>
        <w:tc>
          <w:tcPr>
            <w:tcW w:w="8399" w:type="dxa"/>
          </w:tcPr>
          <w:p w14:paraId="6D2F74DA" w14:textId="62A2EDB6" w:rsidR="0020078D" w:rsidRDefault="0020078D" w:rsidP="00335E26">
            <w:r>
              <w:t xml:space="preserve">SHEA’s response to HHS re: Olympus scope issue for regulatory notification and for the FDA to hold Olympus and endoscope companies to the letter of the law for their reprocessing procedures. </w:t>
            </w:r>
          </w:p>
          <w:p w14:paraId="0BFC276E" w14:textId="77777777" w:rsidR="0020078D" w:rsidRDefault="0020078D" w:rsidP="00335E26"/>
          <w:p w14:paraId="5767D280" w14:textId="50A2AE0E" w:rsidR="0020078D" w:rsidRDefault="00335E26" w:rsidP="00335E26">
            <w:r w:rsidRPr="00335E26">
              <w:t>SHEA and partner organizations to respond to HHS call for comments on revised HAI reduction targets</w:t>
            </w:r>
            <w:r w:rsidR="0020078D">
              <w:t>.</w:t>
            </w:r>
            <w:r w:rsidRPr="00335E26">
              <w:t xml:space="preserve"> The Department of Health and Human Services is seeking public comment on proposed revisions to the HAI National Action Plan and proposed new 5-year targets for reduction </w:t>
            </w:r>
            <w:proofErr w:type="gramStart"/>
            <w:r w:rsidRPr="00335E26">
              <w:t>rates for certain</w:t>
            </w:r>
            <w:proofErr w:type="gramEnd"/>
            <w:r w:rsidRPr="00335E26">
              <w:t xml:space="preserve"> HAIs. All goals will begin with 2023 as the baseline year with the goals achieved by 2028. </w:t>
            </w:r>
          </w:p>
          <w:p w14:paraId="2B4F8738" w14:textId="77777777" w:rsidR="0020078D" w:rsidRDefault="0020078D" w:rsidP="00335E26"/>
          <w:p w14:paraId="0DCD52A6" w14:textId="45035137" w:rsidR="00335E26" w:rsidRPr="00335E26" w:rsidRDefault="00335E26" w:rsidP="00335E26">
            <w:r w:rsidRPr="00335E26">
              <w:t xml:space="preserve">The proposed HAI reduction rates are: </w:t>
            </w:r>
          </w:p>
          <w:p w14:paraId="18E868DF" w14:textId="77777777" w:rsidR="00335E26" w:rsidRPr="00335E26" w:rsidRDefault="00335E26" w:rsidP="0020078D">
            <w:pPr>
              <w:pStyle w:val="ListParagraph"/>
              <w:numPr>
                <w:ilvl w:val="0"/>
                <w:numId w:val="13"/>
              </w:numPr>
            </w:pPr>
            <w:r w:rsidRPr="00335E26">
              <w:t xml:space="preserve">Reduce central line-associated bloodstream infections (CLABSI) in intensive care units and ward located patients by 40% from 2023-2028 </w:t>
            </w:r>
          </w:p>
          <w:p w14:paraId="270C0031" w14:textId="77777777" w:rsidR="00335E26" w:rsidRPr="00335E26" w:rsidRDefault="00335E26" w:rsidP="0020078D">
            <w:pPr>
              <w:pStyle w:val="ListParagraph"/>
              <w:numPr>
                <w:ilvl w:val="0"/>
                <w:numId w:val="13"/>
              </w:numPr>
            </w:pPr>
            <w:r w:rsidRPr="00335E26">
              <w:t xml:space="preserve">Reduce catheter-associated urinary tracts infections (CAUTI) in intensive care units and ward-located patients by 25% from 2023-2028 Reduce hospital-onset MRSA bacteremia by 40% from 2023-2028 </w:t>
            </w:r>
          </w:p>
          <w:p w14:paraId="12700EBA" w14:textId="31168ADB" w:rsidR="00335E26" w:rsidRDefault="00335E26" w:rsidP="0020078D">
            <w:pPr>
              <w:pStyle w:val="ListParagraph"/>
              <w:numPr>
                <w:ilvl w:val="0"/>
                <w:numId w:val="13"/>
              </w:numPr>
            </w:pPr>
            <w:r w:rsidRPr="00335E26">
              <w:t xml:space="preserve">Reduce hospital-onset Clostridioides difficile infections (CDI) by 20% from 2023-2028 </w:t>
            </w:r>
          </w:p>
          <w:p w14:paraId="48D9BBB7" w14:textId="77777777" w:rsidR="000D0D40" w:rsidRPr="00335E26" w:rsidRDefault="000D0D40" w:rsidP="000D0D40">
            <w:pPr>
              <w:pStyle w:val="ListParagraph"/>
            </w:pPr>
          </w:p>
          <w:p w14:paraId="63CC5645" w14:textId="77777777" w:rsidR="00335E26" w:rsidRDefault="00335E26" w:rsidP="00335E26">
            <w:r w:rsidRPr="00335E26">
              <w:t xml:space="preserve">HHS is not recommending an SSI target due to the instability of SSI data collection in 2020-2022. Comments are due January 13 at 5:00 pm ET. </w:t>
            </w:r>
          </w:p>
          <w:p w14:paraId="48C05287" w14:textId="2952AD3A" w:rsidR="000D0D40" w:rsidRPr="00912BCB" w:rsidRDefault="000D0D40" w:rsidP="00335E26"/>
        </w:tc>
        <w:tc>
          <w:tcPr>
            <w:tcW w:w="2315" w:type="dxa"/>
          </w:tcPr>
          <w:p w14:paraId="152AEF5F" w14:textId="7FDE0C37" w:rsidR="00335E26" w:rsidRDefault="0020078D" w:rsidP="000F6AE4">
            <w:r>
              <w:t xml:space="preserve">Kim and Lisa to send this information out to the </w:t>
            </w:r>
            <w:r w:rsidR="0088068E">
              <w:t>group.</w:t>
            </w:r>
          </w:p>
        </w:tc>
      </w:tr>
      <w:tr w:rsidR="00A5672D" w:rsidRPr="00912BCB" w14:paraId="47082D32" w14:textId="77777777" w:rsidTr="000D0D40">
        <w:tc>
          <w:tcPr>
            <w:tcW w:w="2070" w:type="dxa"/>
          </w:tcPr>
          <w:p w14:paraId="288D7E29" w14:textId="081680B0" w:rsidR="00A5672D" w:rsidRPr="00912BCB" w:rsidRDefault="00335E26" w:rsidP="00511AB0">
            <w:pPr>
              <w:ind w:left="240" w:hanging="240"/>
            </w:pPr>
            <w:r>
              <w:t>9</w:t>
            </w:r>
            <w:r w:rsidR="00A5672D" w:rsidRPr="00912BCB">
              <w:t>. Social Committee</w:t>
            </w:r>
          </w:p>
        </w:tc>
        <w:tc>
          <w:tcPr>
            <w:tcW w:w="1606" w:type="dxa"/>
          </w:tcPr>
          <w:p w14:paraId="22761287" w14:textId="0BB8278C" w:rsidR="001059E7" w:rsidRDefault="001059E7" w:rsidP="001059E7">
            <w:r>
              <w:t xml:space="preserve">Latrice Jackson-Washington, </w:t>
            </w:r>
          </w:p>
          <w:p w14:paraId="26B18C3A" w14:textId="32D1E387" w:rsidR="001059E7" w:rsidRDefault="001059E7" w:rsidP="001059E7">
            <w:r>
              <w:t xml:space="preserve">Christian B. Andaya, </w:t>
            </w:r>
          </w:p>
          <w:p w14:paraId="572DBB5E" w14:textId="045D55FB" w:rsidR="00A5672D" w:rsidRPr="00912BCB" w:rsidRDefault="001059E7" w:rsidP="001059E7">
            <w:r>
              <w:t>Heidi Campas-Higgins</w:t>
            </w:r>
          </w:p>
        </w:tc>
        <w:tc>
          <w:tcPr>
            <w:tcW w:w="8399" w:type="dxa"/>
          </w:tcPr>
          <w:p w14:paraId="1B76B842" w14:textId="77777777" w:rsidR="001059E7" w:rsidRDefault="001059E7" w:rsidP="008502B7"/>
          <w:p w14:paraId="73BFE570" w14:textId="1C419826" w:rsidR="00A5672D" w:rsidRPr="00912BCB" w:rsidRDefault="001059E7" w:rsidP="008502B7">
            <w:r>
              <w:t>No Report.</w:t>
            </w:r>
          </w:p>
        </w:tc>
        <w:tc>
          <w:tcPr>
            <w:tcW w:w="2315" w:type="dxa"/>
          </w:tcPr>
          <w:p w14:paraId="18988A41" w14:textId="77777777" w:rsidR="00A5672D" w:rsidRDefault="00A5672D" w:rsidP="000F6AE4"/>
          <w:p w14:paraId="2EFC903E" w14:textId="11480074" w:rsidR="00A5672D" w:rsidRDefault="000F05FD" w:rsidP="000F6AE4">
            <w:pPr>
              <w:rPr>
                <w:b/>
              </w:rPr>
            </w:pPr>
            <w:r>
              <w:t>None</w:t>
            </w:r>
          </w:p>
          <w:p w14:paraId="2A366FF1" w14:textId="77777777" w:rsidR="00A5672D" w:rsidRDefault="00A5672D" w:rsidP="000F6AE4">
            <w:pPr>
              <w:rPr>
                <w:b/>
              </w:rPr>
            </w:pPr>
          </w:p>
          <w:p w14:paraId="05714D17" w14:textId="77777777" w:rsidR="00A5672D" w:rsidRDefault="00A5672D" w:rsidP="000F6AE4">
            <w:pPr>
              <w:rPr>
                <w:b/>
              </w:rPr>
            </w:pPr>
          </w:p>
          <w:p w14:paraId="66A72B58" w14:textId="77777777" w:rsidR="00A5672D" w:rsidRDefault="00A5672D" w:rsidP="000F6AE4">
            <w:pPr>
              <w:rPr>
                <w:b/>
              </w:rPr>
            </w:pPr>
          </w:p>
          <w:p w14:paraId="23D1E9EF" w14:textId="77777777" w:rsidR="00A5672D" w:rsidRPr="00912BCB" w:rsidRDefault="00A5672D" w:rsidP="0016781C"/>
        </w:tc>
      </w:tr>
      <w:tr w:rsidR="00A5672D" w:rsidRPr="00912BCB" w14:paraId="14554A0E" w14:textId="77777777" w:rsidTr="000D0D40">
        <w:tc>
          <w:tcPr>
            <w:tcW w:w="2070" w:type="dxa"/>
          </w:tcPr>
          <w:p w14:paraId="1FBAB9EC" w14:textId="7CC1EA3E" w:rsidR="00A5672D" w:rsidRPr="00912BCB" w:rsidRDefault="00710D14" w:rsidP="000E5021">
            <w:r>
              <w:t>10</w:t>
            </w:r>
            <w:r w:rsidR="00A5672D" w:rsidRPr="00912BCB">
              <w:t>. Membership</w:t>
            </w:r>
          </w:p>
        </w:tc>
        <w:tc>
          <w:tcPr>
            <w:tcW w:w="1606" w:type="dxa"/>
          </w:tcPr>
          <w:p w14:paraId="597B55A5" w14:textId="05D0B8F9" w:rsidR="00A5672D" w:rsidRPr="00912BCB" w:rsidRDefault="00A5672D" w:rsidP="0016781C">
            <w:r w:rsidRPr="00912BCB">
              <w:t>Chair</w:t>
            </w:r>
            <w:r>
              <w:t xml:space="preserve"> - Jarrod Becasen</w:t>
            </w:r>
            <w:r w:rsidR="00254D1F">
              <w:t xml:space="preserve"> on behalf of Liz Jefferson</w:t>
            </w:r>
          </w:p>
        </w:tc>
        <w:tc>
          <w:tcPr>
            <w:tcW w:w="8399" w:type="dxa"/>
          </w:tcPr>
          <w:p w14:paraId="0D2F426F" w14:textId="77777777" w:rsidR="000D0D40" w:rsidRDefault="000D0D40" w:rsidP="008502B7"/>
          <w:p w14:paraId="4C5D1099" w14:textId="3406554A" w:rsidR="00A5672D" w:rsidRDefault="00254D1F" w:rsidP="008502B7">
            <w:r>
              <w:t>Member roster issue with APIC</w:t>
            </w:r>
            <w:bookmarkStart w:id="0" w:name="_GoBack"/>
            <w:bookmarkEnd w:id="0"/>
            <w:r>
              <w:t>. Differed to next month</w:t>
            </w:r>
          </w:p>
          <w:p w14:paraId="6B917CA5" w14:textId="69145711" w:rsidR="000D0D40" w:rsidRPr="00912BCB" w:rsidRDefault="000D0D40" w:rsidP="008502B7"/>
        </w:tc>
        <w:tc>
          <w:tcPr>
            <w:tcW w:w="2315" w:type="dxa"/>
          </w:tcPr>
          <w:p w14:paraId="28C03D27" w14:textId="77777777" w:rsidR="00A5672D" w:rsidRDefault="00A5672D" w:rsidP="000F6AE4"/>
          <w:p w14:paraId="46826B25" w14:textId="71F6DA68" w:rsidR="000F05FD" w:rsidRPr="00912BCB" w:rsidRDefault="000F05FD" w:rsidP="000F6AE4">
            <w:r>
              <w:t>None</w:t>
            </w:r>
          </w:p>
        </w:tc>
      </w:tr>
      <w:tr w:rsidR="00A5672D" w:rsidRPr="00912BCB" w14:paraId="4E46FF3F" w14:textId="77777777" w:rsidTr="000D0D40">
        <w:tc>
          <w:tcPr>
            <w:tcW w:w="2070" w:type="dxa"/>
            <w:tcBorders>
              <w:bottom w:val="double" w:sz="4" w:space="0" w:color="auto"/>
            </w:tcBorders>
          </w:tcPr>
          <w:p w14:paraId="2706A5DF" w14:textId="763A6223" w:rsidR="00A5672D" w:rsidRPr="00912BCB" w:rsidRDefault="00A5672D" w:rsidP="00511AB0">
            <w:pPr>
              <w:ind w:left="330" w:hanging="330"/>
            </w:pPr>
            <w:r>
              <w:t>1</w:t>
            </w:r>
            <w:r w:rsidR="00710D14">
              <w:t>1</w:t>
            </w:r>
            <w:r>
              <w:t>. Nomination Committee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45162AFC" w14:textId="6DA179BC" w:rsidR="00A5672D" w:rsidRPr="00912BCB" w:rsidRDefault="008708C6" w:rsidP="0016781C">
            <w:r w:rsidRPr="008708C6">
              <w:t xml:space="preserve">Claudia Sanchez Goad </w:t>
            </w:r>
            <w:r>
              <w:t xml:space="preserve">and </w:t>
            </w:r>
            <w:r w:rsidRPr="008708C6">
              <w:t>Lisa Mattia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0AD98F03" w14:textId="1FC7A7BE" w:rsidR="008708C6" w:rsidRPr="008708C6" w:rsidRDefault="008708C6" w:rsidP="00CA68DE">
            <w:r w:rsidRPr="008708C6">
              <w:t>2023 Education Support Awards applications to open soon</w:t>
            </w:r>
            <w:r w:rsidR="00CA68DE">
              <w:t>, after the budget is complete.</w:t>
            </w:r>
          </w:p>
          <w:p w14:paraId="42A5FF4F" w14:textId="77777777" w:rsidR="00CA68DE" w:rsidRDefault="00CA68DE" w:rsidP="00CA68DE"/>
          <w:p w14:paraId="57502EFE" w14:textId="4F63CC6B" w:rsidR="008708C6" w:rsidRPr="008708C6" w:rsidRDefault="008708C6" w:rsidP="00CA68DE">
            <w:r w:rsidRPr="008708C6">
              <w:t>Education Award Schedule</w:t>
            </w:r>
          </w:p>
          <w:p w14:paraId="3A27BC5C" w14:textId="77777777" w:rsidR="008708C6" w:rsidRPr="008708C6" w:rsidRDefault="008708C6" w:rsidP="00CA68DE">
            <w:pPr>
              <w:pStyle w:val="ListParagraph"/>
              <w:numPr>
                <w:ilvl w:val="0"/>
                <w:numId w:val="15"/>
              </w:numPr>
            </w:pPr>
            <w:r w:rsidRPr="008708C6">
              <w:t>2022 award recipients = expires June 30, 2023</w:t>
            </w:r>
          </w:p>
          <w:p w14:paraId="2171F974" w14:textId="77777777" w:rsidR="008708C6" w:rsidRPr="008708C6" w:rsidRDefault="008708C6" w:rsidP="00CA68DE">
            <w:pPr>
              <w:pStyle w:val="ListParagraph"/>
              <w:numPr>
                <w:ilvl w:val="0"/>
                <w:numId w:val="15"/>
              </w:numPr>
            </w:pPr>
            <w:r w:rsidRPr="008708C6">
              <w:t>2023 award recipients = expires June 30, 2024</w:t>
            </w:r>
          </w:p>
          <w:p w14:paraId="73CACCE4" w14:textId="77777777" w:rsidR="00A5672D" w:rsidRPr="00912BCB" w:rsidRDefault="00A5672D" w:rsidP="0016781C"/>
        </w:tc>
        <w:tc>
          <w:tcPr>
            <w:tcW w:w="2315" w:type="dxa"/>
            <w:tcBorders>
              <w:bottom w:val="double" w:sz="4" w:space="0" w:color="auto"/>
            </w:tcBorders>
          </w:tcPr>
          <w:p w14:paraId="46232B75" w14:textId="2625AE6F" w:rsidR="00A5672D" w:rsidRPr="00912BCB" w:rsidRDefault="000F05FD" w:rsidP="0016781C">
            <w:r>
              <w:t>None</w:t>
            </w:r>
          </w:p>
        </w:tc>
      </w:tr>
      <w:tr w:rsidR="00A5672D" w:rsidRPr="00912BCB" w14:paraId="50B58218" w14:textId="77777777" w:rsidTr="000D0D40"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14:paraId="14BAE244" w14:textId="323E20CE" w:rsidR="00A5672D" w:rsidRPr="00912BCB" w:rsidRDefault="00A5672D" w:rsidP="0016781C">
            <w:r w:rsidRPr="00912BCB">
              <w:t>1</w:t>
            </w:r>
            <w:r w:rsidR="00710D14">
              <w:t>2</w:t>
            </w:r>
            <w:r w:rsidRPr="00912BCB">
              <w:t>. Updates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86FE07" w14:textId="55589BAD" w:rsidR="00A5672D" w:rsidRPr="0097510B" w:rsidRDefault="00A5672D" w:rsidP="00A726F7"/>
        </w:tc>
        <w:tc>
          <w:tcPr>
            <w:tcW w:w="83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59195C" w14:textId="77777777" w:rsidR="00A5672D" w:rsidRDefault="00A5672D" w:rsidP="0016781C"/>
          <w:p w14:paraId="35CC3CA4" w14:textId="77777777" w:rsidR="00A5672D" w:rsidRDefault="00A5672D" w:rsidP="0016781C"/>
        </w:tc>
        <w:tc>
          <w:tcPr>
            <w:tcW w:w="231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3F4135" w14:textId="77777777" w:rsidR="00A5672D" w:rsidRPr="00912BCB" w:rsidRDefault="00A5672D" w:rsidP="0016781C"/>
        </w:tc>
      </w:tr>
      <w:tr w:rsidR="00A5672D" w:rsidRPr="00912BCB" w14:paraId="0C82AE01" w14:textId="77777777" w:rsidTr="000D0D40">
        <w:tc>
          <w:tcPr>
            <w:tcW w:w="2070" w:type="dxa"/>
            <w:tcBorders>
              <w:left w:val="double" w:sz="4" w:space="0" w:color="auto"/>
            </w:tcBorders>
          </w:tcPr>
          <w:p w14:paraId="5E4CA5AA" w14:textId="27EAD495" w:rsidR="00A5672D" w:rsidRPr="00912BCB" w:rsidRDefault="00291637" w:rsidP="00D953E8">
            <w:pPr>
              <w:ind w:left="600" w:hanging="450"/>
            </w:pPr>
            <w:r>
              <w:t>1</w:t>
            </w:r>
            <w:r w:rsidR="00710D14">
              <w:t>2</w:t>
            </w:r>
            <w:r>
              <w:t>.1</w:t>
            </w:r>
            <w:r w:rsidR="00D953E8">
              <w:t xml:space="preserve"> HAI Advisory Committee</w:t>
            </w:r>
          </w:p>
        </w:tc>
        <w:tc>
          <w:tcPr>
            <w:tcW w:w="1606" w:type="dxa"/>
          </w:tcPr>
          <w:p w14:paraId="3D7C4785" w14:textId="264B1144" w:rsidR="00A5672D" w:rsidRPr="00912BCB" w:rsidRDefault="00A5672D" w:rsidP="009462D1"/>
        </w:tc>
        <w:tc>
          <w:tcPr>
            <w:tcW w:w="8399" w:type="dxa"/>
          </w:tcPr>
          <w:p w14:paraId="5A15468E" w14:textId="77777777" w:rsidR="00A5672D" w:rsidRDefault="00A5672D" w:rsidP="009462D1"/>
          <w:p w14:paraId="279225F7" w14:textId="77777777" w:rsidR="000D0D40" w:rsidRDefault="000D0D40" w:rsidP="009462D1">
            <w:r>
              <w:t>No Report.</w:t>
            </w:r>
          </w:p>
          <w:p w14:paraId="52EC7FBD" w14:textId="33859AD8" w:rsidR="000D0D40" w:rsidRPr="00912BCB" w:rsidRDefault="000D0D40" w:rsidP="009462D1"/>
        </w:tc>
        <w:tc>
          <w:tcPr>
            <w:tcW w:w="2315" w:type="dxa"/>
            <w:tcBorders>
              <w:right w:val="double" w:sz="4" w:space="0" w:color="auto"/>
            </w:tcBorders>
          </w:tcPr>
          <w:p w14:paraId="6B6250C2" w14:textId="77777777" w:rsidR="00A5672D" w:rsidRDefault="00A5672D" w:rsidP="0016781C"/>
          <w:p w14:paraId="55ED527F" w14:textId="35C10229" w:rsidR="000F05FD" w:rsidRPr="00912BCB" w:rsidRDefault="000F05FD" w:rsidP="0016781C">
            <w:r>
              <w:t>None</w:t>
            </w:r>
          </w:p>
        </w:tc>
      </w:tr>
      <w:tr w:rsidR="00A5672D" w:rsidRPr="00912BCB" w14:paraId="0AAC8198" w14:textId="77777777" w:rsidTr="000D0D40">
        <w:tc>
          <w:tcPr>
            <w:tcW w:w="2070" w:type="dxa"/>
            <w:tcBorders>
              <w:left w:val="double" w:sz="4" w:space="0" w:color="auto"/>
            </w:tcBorders>
          </w:tcPr>
          <w:p w14:paraId="46920C77" w14:textId="0DF6D206" w:rsidR="00A5672D" w:rsidRDefault="00A5672D" w:rsidP="00511AB0">
            <w:pPr>
              <w:ind w:left="600" w:hanging="600"/>
            </w:pPr>
            <w:r>
              <w:t xml:space="preserve">   1</w:t>
            </w:r>
            <w:r w:rsidR="00710D14">
              <w:t>2</w:t>
            </w:r>
            <w:r>
              <w:t>.2 CACC Meeting</w:t>
            </w:r>
          </w:p>
          <w:p w14:paraId="74585135" w14:textId="77777777" w:rsidR="00A5672D" w:rsidRPr="00912BCB" w:rsidRDefault="00A5672D" w:rsidP="0016781C"/>
        </w:tc>
        <w:tc>
          <w:tcPr>
            <w:tcW w:w="1606" w:type="dxa"/>
          </w:tcPr>
          <w:p w14:paraId="7B305CF4" w14:textId="25C71B64" w:rsidR="00A5672D" w:rsidRDefault="00D855D8" w:rsidP="0016781C">
            <w:r>
              <w:t>Jessica Alicdan</w:t>
            </w:r>
          </w:p>
        </w:tc>
        <w:tc>
          <w:tcPr>
            <w:tcW w:w="8399" w:type="dxa"/>
          </w:tcPr>
          <w:p w14:paraId="46A59998" w14:textId="5D6DB569" w:rsidR="00E56110" w:rsidRPr="00E56110" w:rsidRDefault="00E56110" w:rsidP="00E56110">
            <w:r w:rsidRPr="00E56110">
              <w:t xml:space="preserve">Jessica is the 2023 CA APIC President-Elect </w:t>
            </w:r>
            <w:hyperlink r:id="rId5" w:history="1">
              <w:hyperlink r:id="rId6" w:history="1">
                <w:r w:rsidRPr="00E56110">
                  <w:rPr>
                    <w:rStyle w:val="Hyperlink"/>
                  </w:rPr>
                  <w:t>https://community.apic.org/cacc/home/board</w:t>
                </w:r>
              </w:hyperlink>
            </w:hyperlink>
          </w:p>
          <w:p w14:paraId="300A1945" w14:textId="3A316C7D" w:rsidR="00E56110" w:rsidRDefault="00422784" w:rsidP="00422784">
            <w:pPr>
              <w:pStyle w:val="ListParagraph"/>
              <w:numPr>
                <w:ilvl w:val="0"/>
                <w:numId w:val="16"/>
              </w:numPr>
            </w:pPr>
            <w:r>
              <w:t>Current President is pregnant so Jessica will be assuming the role sooner than expected.</w:t>
            </w:r>
          </w:p>
          <w:p w14:paraId="333C13B3" w14:textId="77777777" w:rsidR="00A5672D" w:rsidRDefault="00E56110" w:rsidP="00E56110">
            <w:r w:rsidRPr="00E56110">
              <w:t xml:space="preserve">Meeting schedule posted </w:t>
            </w:r>
            <w:hyperlink r:id="rId7" w:history="1">
              <w:hyperlink r:id="rId8" w:history="1">
                <w:r w:rsidRPr="00E56110">
                  <w:rPr>
                    <w:rStyle w:val="Hyperlink"/>
                  </w:rPr>
                  <w:t>https://community.apic.org/cacc/events/meetings</w:t>
                </w:r>
              </w:hyperlink>
            </w:hyperlink>
          </w:p>
          <w:p w14:paraId="096B02D7" w14:textId="0E782BFC" w:rsidR="00E56110" w:rsidRDefault="00E56110" w:rsidP="00E56110"/>
        </w:tc>
        <w:tc>
          <w:tcPr>
            <w:tcW w:w="2315" w:type="dxa"/>
            <w:tcBorders>
              <w:right w:val="double" w:sz="4" w:space="0" w:color="auto"/>
            </w:tcBorders>
          </w:tcPr>
          <w:p w14:paraId="6958B1DE" w14:textId="487CB716" w:rsidR="00A5672D" w:rsidRPr="00912BCB" w:rsidRDefault="000F05FD" w:rsidP="0016781C">
            <w:r>
              <w:t>None</w:t>
            </w:r>
          </w:p>
        </w:tc>
      </w:tr>
      <w:tr w:rsidR="00A5672D" w:rsidRPr="00912BCB" w14:paraId="16D9907C" w14:textId="77777777" w:rsidTr="000D0D40">
        <w:tc>
          <w:tcPr>
            <w:tcW w:w="2070" w:type="dxa"/>
            <w:tcBorders>
              <w:left w:val="double" w:sz="4" w:space="0" w:color="auto"/>
            </w:tcBorders>
          </w:tcPr>
          <w:p w14:paraId="45A82A5D" w14:textId="531CE4A2" w:rsidR="00A5672D" w:rsidRDefault="00A5672D" w:rsidP="0002319B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 w:rsidR="00710D14">
              <w:t>2</w:t>
            </w:r>
            <w:r w:rsidRPr="00912BCB">
              <w:t>.</w:t>
            </w:r>
            <w:r>
              <w:t>3</w:t>
            </w:r>
            <w:r w:rsidRPr="00912BCB">
              <w:t xml:space="preserve"> </w:t>
            </w:r>
            <w:r>
              <w:t xml:space="preserve">Legislative </w:t>
            </w:r>
            <w:r w:rsidR="006358E6">
              <w:t>R</w:t>
            </w:r>
            <w:r>
              <w:t>eport</w:t>
            </w:r>
          </w:p>
          <w:p w14:paraId="38F740C4" w14:textId="77777777" w:rsidR="00A5672D" w:rsidRPr="00912BCB" w:rsidRDefault="00A5672D" w:rsidP="009462D1"/>
        </w:tc>
        <w:tc>
          <w:tcPr>
            <w:tcW w:w="1606" w:type="dxa"/>
          </w:tcPr>
          <w:p w14:paraId="007C68DD" w14:textId="28AF9E30" w:rsidR="00A5672D" w:rsidRDefault="00773E3D" w:rsidP="0016781C">
            <w:r>
              <w:t>Frank Edward Myers III</w:t>
            </w:r>
          </w:p>
        </w:tc>
        <w:tc>
          <w:tcPr>
            <w:tcW w:w="8399" w:type="dxa"/>
          </w:tcPr>
          <w:p w14:paraId="6FE23731" w14:textId="77777777" w:rsidR="000D0D40" w:rsidRDefault="000D0D40" w:rsidP="0016781C"/>
          <w:p w14:paraId="3FCF889A" w14:textId="1449D7A3" w:rsidR="00A5672D" w:rsidRDefault="000D0D40" w:rsidP="0016781C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5A5B4AE3" w14:textId="77777777" w:rsidR="00A5672D" w:rsidRDefault="00A5672D" w:rsidP="0016781C"/>
          <w:p w14:paraId="17B85D22" w14:textId="11C1B527" w:rsidR="000F05FD" w:rsidRPr="00912BCB" w:rsidRDefault="000F05FD" w:rsidP="0016781C">
            <w:r>
              <w:t>None</w:t>
            </w:r>
          </w:p>
        </w:tc>
      </w:tr>
      <w:tr w:rsidR="00A5672D" w:rsidRPr="00912BCB" w14:paraId="0F6F47FE" w14:textId="77777777" w:rsidTr="000D0D40">
        <w:tc>
          <w:tcPr>
            <w:tcW w:w="2070" w:type="dxa"/>
            <w:tcBorders>
              <w:left w:val="double" w:sz="4" w:space="0" w:color="auto"/>
            </w:tcBorders>
          </w:tcPr>
          <w:p w14:paraId="368450FC" w14:textId="2B4D48A6" w:rsidR="00A5672D" w:rsidRPr="00912BCB" w:rsidRDefault="00A5672D" w:rsidP="0002319B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 w:rsidR="00710D14">
              <w:t>2</w:t>
            </w:r>
            <w:r w:rsidRPr="00912BCB">
              <w:t>.</w:t>
            </w:r>
            <w:r>
              <w:t>4</w:t>
            </w:r>
            <w:r w:rsidRPr="00912BCB">
              <w:t xml:space="preserve"> </w:t>
            </w:r>
            <w:r>
              <w:t xml:space="preserve">HAI Liaison </w:t>
            </w:r>
            <w:r w:rsidR="006358E6">
              <w:t>R</w:t>
            </w:r>
            <w:r>
              <w:t>eport</w:t>
            </w:r>
          </w:p>
          <w:p w14:paraId="1BC2EDAC" w14:textId="77777777" w:rsidR="00A5672D" w:rsidRDefault="00A5672D" w:rsidP="009462D1"/>
        </w:tc>
        <w:tc>
          <w:tcPr>
            <w:tcW w:w="1606" w:type="dxa"/>
          </w:tcPr>
          <w:p w14:paraId="202497FC" w14:textId="63F1AB1B" w:rsidR="00A5672D" w:rsidRDefault="006358E6" w:rsidP="0016781C">
            <w:r>
              <w:t>Tracy Lanier, Maggie Turner, Deweese Quigley</w:t>
            </w:r>
          </w:p>
        </w:tc>
        <w:tc>
          <w:tcPr>
            <w:tcW w:w="8399" w:type="dxa"/>
          </w:tcPr>
          <w:p w14:paraId="1DFB55A1" w14:textId="77777777" w:rsidR="006358E6" w:rsidRDefault="006358E6" w:rsidP="0016781C"/>
          <w:p w14:paraId="36E75060" w14:textId="2F850AC8" w:rsidR="00A5672D" w:rsidRDefault="006358E6" w:rsidP="0016781C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3302360A" w14:textId="77777777" w:rsidR="00A5672D" w:rsidRDefault="00A5672D" w:rsidP="0016781C"/>
          <w:p w14:paraId="630344B2" w14:textId="76DFE5A3" w:rsidR="000F05FD" w:rsidRPr="00912BCB" w:rsidRDefault="000F05FD" w:rsidP="0016781C">
            <w:r>
              <w:t>None</w:t>
            </w:r>
          </w:p>
        </w:tc>
      </w:tr>
      <w:tr w:rsidR="0056120C" w:rsidRPr="00912BCB" w14:paraId="35F56CB0" w14:textId="77777777" w:rsidTr="000D0D40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2A06EC2D" w14:textId="546F972F" w:rsidR="0056120C" w:rsidRDefault="0056120C" w:rsidP="0056120C">
            <w:pPr>
              <w:ind w:left="600" w:hanging="420"/>
            </w:pPr>
            <w:r>
              <w:t>1</w:t>
            </w:r>
            <w:r w:rsidR="00710D14">
              <w:t>2</w:t>
            </w:r>
            <w:r>
              <w:t>.5 IDAC Report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669F52C3" w14:textId="3A57242D" w:rsidR="0056120C" w:rsidRDefault="00370CDC" w:rsidP="0056120C">
            <w:r>
              <w:t xml:space="preserve">Will reported for </w:t>
            </w:r>
            <w:r w:rsidR="003318A8">
              <w:t>Lisa Kilgore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72BDB95F" w14:textId="07046219" w:rsidR="000067BE" w:rsidRDefault="000067BE" w:rsidP="000067BE">
            <w:pPr>
              <w:pStyle w:val="ListParagraph"/>
              <w:numPr>
                <w:ilvl w:val="0"/>
                <w:numId w:val="19"/>
              </w:numPr>
            </w:pPr>
            <w:r>
              <w:t>Last meeting was November 2022</w:t>
            </w:r>
          </w:p>
          <w:p w14:paraId="4E340AAF" w14:textId="694B7B2E" w:rsidR="000067BE" w:rsidRDefault="000067BE" w:rsidP="000067BE">
            <w:pPr>
              <w:pStyle w:val="ListParagraph"/>
              <w:numPr>
                <w:ilvl w:val="0"/>
                <w:numId w:val="19"/>
              </w:numPr>
            </w:pPr>
            <w:r>
              <w:t xml:space="preserve">Symposium </w:t>
            </w:r>
            <w:r w:rsidR="00F67650">
              <w:t>was in Long Beach and there was an increase in participation from Infection Control</w:t>
            </w:r>
            <w:r w:rsidR="007A223F">
              <w:t xml:space="preserve"> (IC), the first day was dedicated to IC, they spoke about Antibiotic Stewardship</w:t>
            </w:r>
          </w:p>
          <w:p w14:paraId="0FC1800F" w14:textId="3E3A67D4" w:rsidR="007A223F" w:rsidRDefault="007A223F" w:rsidP="000067BE">
            <w:pPr>
              <w:pStyle w:val="ListParagraph"/>
              <w:numPr>
                <w:ilvl w:val="0"/>
                <w:numId w:val="19"/>
              </w:numPr>
            </w:pPr>
            <w:r>
              <w:t>Pending information on the Spring Symposium</w:t>
            </w:r>
          </w:p>
          <w:p w14:paraId="3293E469" w14:textId="1FCA3727" w:rsidR="0056120C" w:rsidRPr="007A223F" w:rsidRDefault="007A223F" w:rsidP="0056120C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>
              <w:t xml:space="preserve">Link to IDAC for more information </w:t>
            </w:r>
            <w:hyperlink r:id="rId9" w:history="1">
              <w:r w:rsidRPr="00DD25BE">
                <w:rPr>
                  <w:rStyle w:val="Hyperlink"/>
                </w:rPr>
                <w:t>https://idac.org/</w:t>
              </w:r>
            </w:hyperlink>
          </w:p>
          <w:p w14:paraId="0936E992" w14:textId="65CADD2D" w:rsidR="000067BE" w:rsidRDefault="000067BE" w:rsidP="0056120C"/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1AAB3AA4" w14:textId="06798D6A" w:rsidR="0056120C" w:rsidRPr="00912BCB" w:rsidRDefault="000F05FD" w:rsidP="0056120C">
            <w:r>
              <w:t>None</w:t>
            </w:r>
          </w:p>
        </w:tc>
      </w:tr>
      <w:tr w:rsidR="0056120C" w:rsidRPr="00912BCB" w14:paraId="48D4AAA5" w14:textId="77777777" w:rsidTr="000D0D40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0EB63AFB" w14:textId="3FF7DC09" w:rsidR="0056120C" w:rsidRDefault="0056120C" w:rsidP="0056120C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 w:rsidR="00710D14">
              <w:t>2</w:t>
            </w:r>
            <w:r w:rsidRPr="00912BCB">
              <w:t>.</w:t>
            </w:r>
            <w:r>
              <w:t>6</w:t>
            </w:r>
            <w:r w:rsidRPr="00912BCB">
              <w:t xml:space="preserve"> </w:t>
            </w:r>
            <w:r>
              <w:t>GERM</w:t>
            </w:r>
            <w:r w:rsidRPr="00912BCB">
              <w:t xml:space="preserve"> </w:t>
            </w:r>
            <w:r>
              <w:t>Report</w:t>
            </w:r>
          </w:p>
          <w:p w14:paraId="471C2D7A" w14:textId="77777777" w:rsidR="0056120C" w:rsidRPr="00912BCB" w:rsidRDefault="0056120C" w:rsidP="0056120C"/>
        </w:tc>
        <w:tc>
          <w:tcPr>
            <w:tcW w:w="1606" w:type="dxa"/>
            <w:tcBorders>
              <w:bottom w:val="double" w:sz="4" w:space="0" w:color="auto"/>
            </w:tcBorders>
          </w:tcPr>
          <w:p w14:paraId="1F098C9F" w14:textId="0DF6E3D3" w:rsidR="0056120C" w:rsidRDefault="0056120C" w:rsidP="0056120C">
            <w:r>
              <w:t>Frank Edward Myers III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0EDD310C" w14:textId="77777777" w:rsidR="0056120C" w:rsidRDefault="0056120C" w:rsidP="0056120C">
            <w:pPr>
              <w:pStyle w:val="ListParagraph"/>
              <w:numPr>
                <w:ilvl w:val="0"/>
                <w:numId w:val="16"/>
              </w:numPr>
            </w:pPr>
            <w:r>
              <w:t>Working on a county-wide antibiogram</w:t>
            </w:r>
          </w:p>
          <w:p w14:paraId="655DBF26" w14:textId="77777777" w:rsidR="0056120C" w:rsidRDefault="00291637" w:rsidP="0056120C">
            <w:pPr>
              <w:pStyle w:val="ListParagraph"/>
              <w:numPr>
                <w:ilvl w:val="0"/>
                <w:numId w:val="16"/>
              </w:numPr>
            </w:pPr>
            <w:r>
              <w:t>If you are interested in GERM, reach out to Frank via email or text for more information.</w:t>
            </w:r>
          </w:p>
          <w:p w14:paraId="162111FB" w14:textId="77777777" w:rsidR="003318A8" w:rsidRDefault="00291637" w:rsidP="003318A8">
            <w:pPr>
              <w:pStyle w:val="ListParagraph"/>
              <w:numPr>
                <w:ilvl w:val="0"/>
                <w:numId w:val="16"/>
              </w:numPr>
            </w:pPr>
            <w:r>
              <w:t>Dr. Francesca Torriani is the current President of GERM</w:t>
            </w:r>
          </w:p>
          <w:p w14:paraId="416A4125" w14:textId="67F27100" w:rsidR="003318A8" w:rsidRPr="003318A8" w:rsidRDefault="00254D1F" w:rsidP="003318A8">
            <w:pPr>
              <w:pStyle w:val="ListParagraph"/>
              <w:numPr>
                <w:ilvl w:val="0"/>
                <w:numId w:val="16"/>
              </w:numPr>
              <w:rPr>
                <w:rStyle w:val="Hyperlink"/>
              </w:rPr>
            </w:pPr>
            <w:hyperlink r:id="rId10" w:history="1">
              <w:r w:rsidR="003318A8" w:rsidRPr="003318A8">
                <w:rPr>
                  <w:rStyle w:val="Hyperlink"/>
                </w:rPr>
                <w:t>http://www.sdcms.org/about-sdcms/committees-commissions/sdcms-germ-commission.aspx</w:t>
              </w:r>
            </w:hyperlink>
          </w:p>
          <w:p w14:paraId="689FDCBF" w14:textId="0AFA9CFB" w:rsidR="003318A8" w:rsidRDefault="003318A8" w:rsidP="000067BE">
            <w:pPr>
              <w:pStyle w:val="ListParagraph"/>
              <w:numPr>
                <w:ilvl w:val="0"/>
                <w:numId w:val="18"/>
              </w:numPr>
              <w:ind w:left="1156"/>
            </w:pPr>
            <w:r>
              <w:t xml:space="preserve">You can use this link to look for a physician or journals. The October journal has an article around the new changes to </w:t>
            </w:r>
            <w:r w:rsidRPr="00240872">
              <w:t>endoscope</w:t>
            </w:r>
            <w:r>
              <w:t xml:space="preserve"> reprocessing.</w:t>
            </w:r>
          </w:p>
          <w:p w14:paraId="4C64676F" w14:textId="18BA9E71" w:rsidR="00291637" w:rsidRDefault="00291637" w:rsidP="00291637">
            <w:pPr>
              <w:pStyle w:val="ListParagraph"/>
            </w:pPr>
          </w:p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42E0E597" w14:textId="0032BDE7" w:rsidR="0056120C" w:rsidRPr="00912BCB" w:rsidRDefault="000F05FD" w:rsidP="0056120C">
            <w:r>
              <w:t>None</w:t>
            </w:r>
          </w:p>
        </w:tc>
      </w:tr>
      <w:tr w:rsidR="000067BE" w:rsidRPr="00912BCB" w14:paraId="646FEA77" w14:textId="77777777" w:rsidTr="000D0D40">
        <w:tc>
          <w:tcPr>
            <w:tcW w:w="2070" w:type="dxa"/>
            <w:tcBorders>
              <w:top w:val="double" w:sz="4" w:space="0" w:color="auto"/>
            </w:tcBorders>
          </w:tcPr>
          <w:p w14:paraId="1385FB2A" w14:textId="681DAC76" w:rsidR="000067BE" w:rsidRPr="00912BCB" w:rsidRDefault="000067BE" w:rsidP="000067BE">
            <w:pPr>
              <w:ind w:left="330" w:hanging="330"/>
            </w:pPr>
            <w:r w:rsidRPr="00912BCB">
              <w:t>1</w:t>
            </w:r>
            <w:r w:rsidR="00710D14">
              <w:t>3</w:t>
            </w:r>
            <w:r w:rsidRPr="00912BCB">
              <w:t>. Long-Term Care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14:paraId="447FB6AD" w14:textId="0613C194" w:rsidR="000067BE" w:rsidRDefault="000067BE" w:rsidP="000067BE">
            <w:r w:rsidRPr="000067BE">
              <w:t>Israel Sanchez</w:t>
            </w:r>
          </w:p>
          <w:p w14:paraId="1601433E" w14:textId="2E606E99" w:rsidR="000067BE" w:rsidRDefault="000067BE" w:rsidP="000067BE"/>
        </w:tc>
        <w:tc>
          <w:tcPr>
            <w:tcW w:w="8399" w:type="dxa"/>
            <w:tcBorders>
              <w:top w:val="double" w:sz="4" w:space="0" w:color="auto"/>
            </w:tcBorders>
          </w:tcPr>
          <w:p w14:paraId="1B718423" w14:textId="77777777" w:rsidR="000067BE" w:rsidRDefault="000067BE" w:rsidP="000067BE"/>
          <w:p w14:paraId="5CED3DD1" w14:textId="77777777" w:rsidR="000067BE" w:rsidRDefault="000067BE" w:rsidP="000067BE">
            <w:r>
              <w:t>No Report.</w:t>
            </w:r>
          </w:p>
          <w:p w14:paraId="497D51DA" w14:textId="35A6D95B" w:rsidR="000067BE" w:rsidRDefault="000067BE" w:rsidP="000067BE"/>
        </w:tc>
        <w:tc>
          <w:tcPr>
            <w:tcW w:w="2315" w:type="dxa"/>
            <w:tcBorders>
              <w:top w:val="double" w:sz="4" w:space="0" w:color="auto"/>
            </w:tcBorders>
          </w:tcPr>
          <w:p w14:paraId="23D6CDAA" w14:textId="77777777" w:rsidR="000067BE" w:rsidRDefault="000067BE" w:rsidP="000067BE"/>
          <w:p w14:paraId="67B9F81A" w14:textId="029CC6AE" w:rsidR="000F05FD" w:rsidRPr="00912BCB" w:rsidRDefault="000F05FD" w:rsidP="000067BE">
            <w:r>
              <w:t>None</w:t>
            </w:r>
          </w:p>
        </w:tc>
      </w:tr>
      <w:tr w:rsidR="000067BE" w:rsidRPr="00912BCB" w14:paraId="4EA12A93" w14:textId="77777777" w:rsidTr="000D0D40">
        <w:tc>
          <w:tcPr>
            <w:tcW w:w="2070" w:type="dxa"/>
          </w:tcPr>
          <w:p w14:paraId="743D4519" w14:textId="7924A082" w:rsidR="000067BE" w:rsidRPr="00912BCB" w:rsidRDefault="000067BE" w:rsidP="000067BE">
            <w:pPr>
              <w:ind w:left="330" w:hanging="330"/>
            </w:pPr>
            <w:r>
              <w:t>1</w:t>
            </w:r>
            <w:r w:rsidR="00710D14">
              <w:t>4</w:t>
            </w:r>
            <w:r>
              <w:t>.  Ambulatory Care</w:t>
            </w:r>
          </w:p>
        </w:tc>
        <w:tc>
          <w:tcPr>
            <w:tcW w:w="1606" w:type="dxa"/>
          </w:tcPr>
          <w:p w14:paraId="6D90C439" w14:textId="2370891D" w:rsidR="000067BE" w:rsidRDefault="000067BE" w:rsidP="000067BE">
            <w:r w:rsidRPr="000067BE">
              <w:t>Janessa Esteban</w:t>
            </w:r>
          </w:p>
        </w:tc>
        <w:tc>
          <w:tcPr>
            <w:tcW w:w="8399" w:type="dxa"/>
          </w:tcPr>
          <w:p w14:paraId="23447CF0" w14:textId="77777777" w:rsidR="000067BE" w:rsidRDefault="000067BE" w:rsidP="000067BE">
            <w:pPr>
              <w:pStyle w:val="ListParagraph"/>
              <w:numPr>
                <w:ilvl w:val="0"/>
                <w:numId w:val="17"/>
              </w:numPr>
            </w:pPr>
            <w:r>
              <w:t>Currently preparing for Joint Commission</w:t>
            </w:r>
          </w:p>
          <w:p w14:paraId="01BDD4D7" w14:textId="627A48C9" w:rsidR="000067BE" w:rsidRDefault="000067BE" w:rsidP="000067BE">
            <w:pPr>
              <w:pStyle w:val="ListParagraph"/>
              <w:numPr>
                <w:ilvl w:val="0"/>
                <w:numId w:val="17"/>
              </w:numPr>
            </w:pPr>
            <w:r>
              <w:t xml:space="preserve">For sterile processing, it is encouraged that clinics use single use instruments to limit maintenance of temperature and humidity, training, space requirements, documentation requirements, and negative/positive pressure requirements. It </w:t>
            </w:r>
            <w:proofErr w:type="gramStart"/>
            <w:r>
              <w:t>was recommended</w:t>
            </w:r>
            <w:proofErr w:type="gramEnd"/>
            <w:r>
              <w:t xml:space="preserve"> to do a cost analysis to evaluate single use item use and savings on time.</w:t>
            </w:r>
          </w:p>
          <w:p w14:paraId="65C49E17" w14:textId="60C1B15B" w:rsidR="000067BE" w:rsidRDefault="000067BE" w:rsidP="00F2494E">
            <w:pPr>
              <w:pStyle w:val="ListParagraph"/>
            </w:pPr>
          </w:p>
        </w:tc>
        <w:tc>
          <w:tcPr>
            <w:tcW w:w="2315" w:type="dxa"/>
          </w:tcPr>
          <w:p w14:paraId="42F1BB09" w14:textId="0EAAC9ED" w:rsidR="000067BE" w:rsidRPr="00912BCB" w:rsidRDefault="000067BE" w:rsidP="000067BE">
            <w:r>
              <w:t xml:space="preserve">Pending update on TJC audit. </w:t>
            </w:r>
          </w:p>
        </w:tc>
      </w:tr>
      <w:tr w:rsidR="00F2494E" w:rsidRPr="00912BCB" w14:paraId="70DFC12E" w14:textId="77777777" w:rsidTr="000D0D40">
        <w:tc>
          <w:tcPr>
            <w:tcW w:w="2070" w:type="dxa"/>
          </w:tcPr>
          <w:p w14:paraId="43339A6A" w14:textId="4F83A2EA" w:rsidR="00F2494E" w:rsidRDefault="00F2494E" w:rsidP="000067BE">
            <w:pPr>
              <w:ind w:left="330" w:hanging="330"/>
            </w:pPr>
            <w:r>
              <w:t>1</w:t>
            </w:r>
            <w:r w:rsidR="00710D14">
              <w:t>5</w:t>
            </w:r>
            <w:r>
              <w:t>. Pediatric Care</w:t>
            </w:r>
          </w:p>
        </w:tc>
        <w:tc>
          <w:tcPr>
            <w:tcW w:w="1606" w:type="dxa"/>
          </w:tcPr>
          <w:p w14:paraId="2DB7A4AF" w14:textId="7A5541AF" w:rsidR="00F2494E" w:rsidRPr="000067BE" w:rsidRDefault="00F2494E" w:rsidP="000067BE">
            <w:r>
              <w:t>Rady Children’s</w:t>
            </w:r>
          </w:p>
        </w:tc>
        <w:tc>
          <w:tcPr>
            <w:tcW w:w="8399" w:type="dxa"/>
          </w:tcPr>
          <w:p w14:paraId="6282D96C" w14:textId="11C6454A" w:rsidR="00F2494E" w:rsidRDefault="00DC0140" w:rsidP="000067BE">
            <w:pPr>
              <w:pStyle w:val="ListParagraph"/>
              <w:numPr>
                <w:ilvl w:val="0"/>
                <w:numId w:val="17"/>
              </w:numPr>
            </w:pPr>
            <w:r>
              <w:t>Still seeing a significant number of respiratory cases, including COVID, but it is trending downward</w:t>
            </w:r>
          </w:p>
          <w:p w14:paraId="79358EAF" w14:textId="021A09D2" w:rsidR="00F2494E" w:rsidRDefault="00DC0140" w:rsidP="000067BE">
            <w:pPr>
              <w:pStyle w:val="ListParagraph"/>
              <w:numPr>
                <w:ilvl w:val="0"/>
                <w:numId w:val="17"/>
              </w:numPr>
            </w:pPr>
            <w:r>
              <w:t>Preparing for Mock Survey at the end of the month</w:t>
            </w:r>
          </w:p>
        </w:tc>
        <w:tc>
          <w:tcPr>
            <w:tcW w:w="2315" w:type="dxa"/>
          </w:tcPr>
          <w:p w14:paraId="1D54F066" w14:textId="77777777" w:rsidR="00F2494E" w:rsidRDefault="00F2494E" w:rsidP="000067BE"/>
          <w:p w14:paraId="6B546F64" w14:textId="77777777" w:rsidR="00DC0140" w:rsidRDefault="00DC0140" w:rsidP="000067BE"/>
          <w:p w14:paraId="16AFC9DC" w14:textId="240F2F51" w:rsidR="00DC0140" w:rsidRDefault="00DC0140" w:rsidP="000067BE">
            <w:r>
              <w:t xml:space="preserve">Results of Mock Survey to </w:t>
            </w:r>
            <w:proofErr w:type="gramStart"/>
            <w:r>
              <w:t>be shared</w:t>
            </w:r>
            <w:proofErr w:type="gramEnd"/>
            <w:r>
              <w:t xml:space="preserve"> at the next meeting, if available.</w:t>
            </w:r>
          </w:p>
        </w:tc>
      </w:tr>
      <w:tr w:rsidR="000067BE" w:rsidRPr="00912BCB" w14:paraId="3DC0A15B" w14:textId="77777777" w:rsidTr="000D0D40">
        <w:tc>
          <w:tcPr>
            <w:tcW w:w="2070" w:type="dxa"/>
          </w:tcPr>
          <w:p w14:paraId="17EB2F3C" w14:textId="152594E9" w:rsidR="000067BE" w:rsidRPr="00912BCB" w:rsidRDefault="000067BE" w:rsidP="004D47FA">
            <w:pPr>
              <w:ind w:left="330" w:hanging="360"/>
            </w:pPr>
            <w:r w:rsidRPr="00912BCB">
              <w:t>1</w:t>
            </w:r>
            <w:r w:rsidR="00710D14">
              <w:t>6</w:t>
            </w:r>
            <w:r w:rsidRPr="00912BCB">
              <w:t>. County Epi</w:t>
            </w:r>
            <w:r w:rsidR="004D47FA">
              <w:t>demiology</w:t>
            </w:r>
          </w:p>
        </w:tc>
        <w:tc>
          <w:tcPr>
            <w:tcW w:w="1606" w:type="dxa"/>
          </w:tcPr>
          <w:p w14:paraId="347FBE81" w14:textId="09F9D895" w:rsidR="000067BE" w:rsidRDefault="004D47FA" w:rsidP="000067BE">
            <w:r w:rsidRPr="004D47FA">
              <w:t xml:space="preserve">Grace Kang </w:t>
            </w:r>
            <w:r>
              <w:t>and</w:t>
            </w:r>
            <w:r w:rsidRPr="004D47FA">
              <w:t xml:space="preserve"> Mara Rauhauser</w:t>
            </w:r>
          </w:p>
        </w:tc>
        <w:tc>
          <w:tcPr>
            <w:tcW w:w="8399" w:type="dxa"/>
          </w:tcPr>
          <w:p w14:paraId="761D8958" w14:textId="0E3E38CB" w:rsidR="000067BE" w:rsidRDefault="00766C7B" w:rsidP="00766C7B">
            <w:pPr>
              <w:pStyle w:val="ListParagraph"/>
              <w:numPr>
                <w:ilvl w:val="0"/>
                <w:numId w:val="21"/>
              </w:numPr>
            </w:pPr>
            <w:r>
              <w:t>T</w:t>
            </w:r>
            <w:r w:rsidRPr="00766C7B">
              <w:t xml:space="preserve">raining opportunity with the FBI </w:t>
            </w:r>
            <w:r>
              <w:t>C</w:t>
            </w:r>
            <w:r w:rsidRPr="00766C7B">
              <w:t xml:space="preserve">riminal Epidemiologic Investigation Workshop </w:t>
            </w:r>
            <w:r>
              <w:t xml:space="preserve">January 24-25, 2023 </w:t>
            </w:r>
            <w:hyperlink r:id="rId11" w:history="1">
              <w:r w:rsidRPr="00DD25BE">
                <w:rPr>
                  <w:rStyle w:val="Hyperlink"/>
                </w:rPr>
                <w:t>https://forms.fbi.gov/fbi-cdc-joint-criminal-epidemiologic-investigations-workshop-san-diego-ca</w:t>
              </w:r>
            </w:hyperlink>
          </w:p>
          <w:p w14:paraId="23BC2D10" w14:textId="55609AC0" w:rsidR="00766C7B" w:rsidRDefault="00766C7B" w:rsidP="00766C7B">
            <w:pPr>
              <w:pStyle w:val="ListParagraph"/>
            </w:pPr>
          </w:p>
        </w:tc>
        <w:tc>
          <w:tcPr>
            <w:tcW w:w="2315" w:type="dxa"/>
          </w:tcPr>
          <w:p w14:paraId="05197C42" w14:textId="537EC578" w:rsidR="000067BE" w:rsidRPr="00912BCB" w:rsidRDefault="000F05FD" w:rsidP="000067BE">
            <w:r>
              <w:t>None</w:t>
            </w:r>
          </w:p>
        </w:tc>
      </w:tr>
      <w:tr w:rsidR="000067BE" w:rsidRPr="00912BCB" w14:paraId="1D703A40" w14:textId="77777777" w:rsidTr="000D0D40">
        <w:tc>
          <w:tcPr>
            <w:tcW w:w="2070" w:type="dxa"/>
          </w:tcPr>
          <w:p w14:paraId="21FAEE70" w14:textId="51DEEDB3" w:rsidR="000067BE" w:rsidRPr="00912BCB" w:rsidRDefault="000067BE" w:rsidP="000067BE">
            <w:pPr>
              <w:ind w:left="330" w:hanging="330"/>
            </w:pPr>
            <w:r w:rsidRPr="00912BCB">
              <w:t>1</w:t>
            </w:r>
            <w:r w:rsidR="00710D14">
              <w:t>7</w:t>
            </w:r>
            <w:r w:rsidRPr="00912BCB">
              <w:t xml:space="preserve">. Other </w:t>
            </w:r>
            <w:r w:rsidR="004D47FA">
              <w:t>A</w:t>
            </w:r>
            <w:r w:rsidRPr="00912BCB">
              <w:t xml:space="preserve">nnouncements, </w:t>
            </w:r>
            <w:r w:rsidR="004D47FA">
              <w:t>Q</w:t>
            </w:r>
            <w:r w:rsidRPr="00912BCB">
              <w:t xml:space="preserve">uestions, </w:t>
            </w:r>
            <w:r w:rsidR="004D47FA">
              <w:t>C</w:t>
            </w:r>
            <w:r w:rsidRPr="00912BCB">
              <w:t>omments</w:t>
            </w:r>
          </w:p>
        </w:tc>
        <w:tc>
          <w:tcPr>
            <w:tcW w:w="1606" w:type="dxa"/>
          </w:tcPr>
          <w:p w14:paraId="56E64730" w14:textId="70DE4341" w:rsidR="000067BE" w:rsidRPr="00912BCB" w:rsidRDefault="000067BE" w:rsidP="000067BE">
            <w:r w:rsidRPr="00912BCB">
              <w:t>Group</w:t>
            </w:r>
          </w:p>
        </w:tc>
        <w:tc>
          <w:tcPr>
            <w:tcW w:w="8399" w:type="dxa"/>
          </w:tcPr>
          <w:p w14:paraId="5570DAE5" w14:textId="546B7A6A" w:rsidR="00A503F9" w:rsidRDefault="00A503F9" w:rsidP="0088068E">
            <w:pPr>
              <w:pStyle w:val="ListParagraph"/>
              <w:numPr>
                <w:ilvl w:val="0"/>
                <w:numId w:val="20"/>
              </w:numPr>
            </w:pPr>
            <w:r>
              <w:t>Kim mentioned that Craig Johns said to connect with him re: Annual Conference at Wilson Creek Winery in Temecula.</w:t>
            </w:r>
          </w:p>
          <w:p w14:paraId="3956DD10" w14:textId="77777777" w:rsidR="00A503F9" w:rsidRDefault="00A503F9" w:rsidP="00A503F9">
            <w:pPr>
              <w:pStyle w:val="ListParagraph"/>
            </w:pPr>
          </w:p>
          <w:p w14:paraId="045414D0" w14:textId="1DAB9A02" w:rsidR="000067BE" w:rsidRDefault="0088068E" w:rsidP="0088068E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Instructions for Use for NICU Panda Warmers have been updated by the company (GE?)</w:t>
            </w:r>
            <w:proofErr w:type="gramEnd"/>
            <w:r>
              <w:t xml:space="preserve">. </w:t>
            </w:r>
            <w:r w:rsidR="00370CDC">
              <w:t>Note</w:t>
            </w:r>
            <w:proofErr w:type="gramStart"/>
            <w:r w:rsidR="00370CDC">
              <w:t>,</w:t>
            </w:r>
            <w:proofErr w:type="gramEnd"/>
            <w:r w:rsidR="00370CDC">
              <w:t xml:space="preserve"> TJC has not been accepting internal risk assessments. </w:t>
            </w:r>
            <w:r>
              <w:t xml:space="preserve">It </w:t>
            </w:r>
            <w:proofErr w:type="gramStart"/>
            <w:r>
              <w:t>was shared</w:t>
            </w:r>
            <w:proofErr w:type="gramEnd"/>
            <w:r>
              <w:t xml:space="preserve"> that one of the IPs will be meeting with </w:t>
            </w:r>
            <w:r w:rsidRPr="0088068E">
              <w:t>Sylvia Hutchins at the Joint Commission</w:t>
            </w:r>
            <w:r>
              <w:t xml:space="preserve"> to discuss on 01/12/2023.</w:t>
            </w:r>
          </w:p>
          <w:p w14:paraId="098EB026" w14:textId="77777777" w:rsidR="00AD61B3" w:rsidRDefault="00AD61B3" w:rsidP="00AD61B3">
            <w:pPr>
              <w:pStyle w:val="ListParagraph"/>
            </w:pPr>
          </w:p>
          <w:p w14:paraId="0830A5F1" w14:textId="0053B00C" w:rsidR="00AD61B3" w:rsidRDefault="00AD61B3" w:rsidP="0088068E">
            <w:pPr>
              <w:pStyle w:val="ListParagraph"/>
              <w:numPr>
                <w:ilvl w:val="0"/>
                <w:numId w:val="20"/>
              </w:numPr>
            </w:pPr>
            <w:r>
              <w:t xml:space="preserve">UCSD to have a vacancy and hoping to add two positions, the positions </w:t>
            </w:r>
            <w:proofErr w:type="gramStart"/>
            <w:r>
              <w:t>should be posted</w:t>
            </w:r>
            <w:proofErr w:type="gramEnd"/>
            <w:r>
              <w:t xml:space="preserve"> end of January/beginning of February. If you are interested, you can reach out to anybody on the team.</w:t>
            </w:r>
          </w:p>
          <w:p w14:paraId="6F4C894B" w14:textId="77777777" w:rsidR="00AD61B3" w:rsidRDefault="00AD61B3" w:rsidP="00AD61B3">
            <w:pPr>
              <w:pStyle w:val="ListParagraph"/>
            </w:pPr>
          </w:p>
          <w:p w14:paraId="0E6CB64F" w14:textId="06F8039D" w:rsidR="000067BE" w:rsidRDefault="00AD61B3" w:rsidP="000067BE">
            <w:pPr>
              <w:pStyle w:val="ListParagraph"/>
              <w:numPr>
                <w:ilvl w:val="0"/>
                <w:numId w:val="20"/>
              </w:numPr>
            </w:pPr>
            <w:r>
              <w:t xml:space="preserve">Kaiser has Director of Infection Prevention and Control open, in addition to the having an interim Director. It </w:t>
            </w:r>
            <w:proofErr w:type="gramStart"/>
            <w:r>
              <w:t>is projected</w:t>
            </w:r>
            <w:proofErr w:type="gramEnd"/>
            <w:r>
              <w:t xml:space="preserve"> that they will have two positions open in addition to the director position soon.  </w:t>
            </w:r>
          </w:p>
          <w:p w14:paraId="7379634A" w14:textId="77777777" w:rsidR="000D0D40" w:rsidRDefault="000D0D40" w:rsidP="000D0D40"/>
          <w:p w14:paraId="7AE4D9E1" w14:textId="353507DE" w:rsidR="000D0D40" w:rsidRPr="000D0D40" w:rsidRDefault="000D0D40" w:rsidP="000D0D40">
            <w:pPr>
              <w:rPr>
                <w:b/>
                <w:bCs/>
              </w:rPr>
            </w:pPr>
            <w:r w:rsidRPr="000D0D40">
              <w:rPr>
                <w:b/>
                <w:bCs/>
              </w:rPr>
              <w:t>NEXT MEETING: Wednesday, February 8, 2023</w:t>
            </w:r>
          </w:p>
          <w:p w14:paraId="38878DC4" w14:textId="77777777" w:rsidR="000D0D40" w:rsidRDefault="000D0D40" w:rsidP="000D0D40"/>
          <w:p w14:paraId="435669F3" w14:textId="77777777" w:rsidR="000D0D40" w:rsidRDefault="000D0D40" w:rsidP="000D0D40">
            <w:r>
              <w:t>Location: Sharp Copley, 5651 Copley Dr, San Diego, CA 92111, Room C</w:t>
            </w:r>
          </w:p>
          <w:p w14:paraId="652B6FA2" w14:textId="77777777" w:rsidR="000D0D40" w:rsidRDefault="000D0D40" w:rsidP="000D0D40">
            <w:r>
              <w:t xml:space="preserve">   Sharp Copley is within the “substantial tier” and currently does not allow food inside</w:t>
            </w:r>
          </w:p>
          <w:p w14:paraId="4E668A52" w14:textId="77777777" w:rsidR="000D0D40" w:rsidRDefault="000D0D40" w:rsidP="000D0D40"/>
          <w:p w14:paraId="4ED537EA" w14:textId="77777777" w:rsidR="000D0D40" w:rsidRDefault="000D0D40" w:rsidP="000D0D40">
            <w:r>
              <w:t xml:space="preserve">Virtual Link: </w:t>
            </w:r>
            <w:hyperlink r:id="rId12" w:history="1">
              <w:r w:rsidRPr="00DD25BE">
                <w:rPr>
                  <w:rStyle w:val="Hyperlink"/>
                </w:rPr>
                <w:t>https://apic.zoom.us/j/87860069121?pwd=K290OE5hQmpmVUxXWGptS1NJc0d5QT09</w:t>
              </w:r>
            </w:hyperlink>
          </w:p>
          <w:p w14:paraId="5B45DE11" w14:textId="19C70D40" w:rsidR="000067BE" w:rsidRPr="00912BCB" w:rsidRDefault="000067BE" w:rsidP="000067BE"/>
        </w:tc>
        <w:tc>
          <w:tcPr>
            <w:tcW w:w="2315" w:type="dxa"/>
          </w:tcPr>
          <w:p w14:paraId="617C8BC4" w14:textId="2648ED70" w:rsidR="00A503F9" w:rsidRDefault="00A503F9" w:rsidP="000067BE">
            <w:r>
              <w:t>Social Committee/Kim to connect with Craig.</w:t>
            </w:r>
          </w:p>
          <w:p w14:paraId="02B78A4A" w14:textId="77777777" w:rsidR="00A503F9" w:rsidRDefault="00A503F9" w:rsidP="000067BE"/>
          <w:p w14:paraId="7B9AB2E3" w14:textId="09E07364" w:rsidR="000067BE" w:rsidRDefault="0088068E" w:rsidP="000067BE">
            <w:r>
              <w:t xml:space="preserve">Information from meeting with </w:t>
            </w:r>
            <w:r w:rsidR="00766C7B">
              <w:t>Sylvia</w:t>
            </w:r>
            <w:r>
              <w:t xml:space="preserve"> H. to </w:t>
            </w:r>
            <w:proofErr w:type="gramStart"/>
            <w:r>
              <w:t>be shared</w:t>
            </w:r>
            <w:proofErr w:type="gramEnd"/>
            <w:r>
              <w:t xml:space="preserve"> with the group.</w:t>
            </w:r>
          </w:p>
          <w:p w14:paraId="78CDA586" w14:textId="77777777" w:rsidR="000067BE" w:rsidRDefault="000067BE" w:rsidP="000067BE"/>
          <w:p w14:paraId="0453F7A6" w14:textId="77777777" w:rsidR="000067BE" w:rsidRDefault="000067BE" w:rsidP="000067BE"/>
          <w:p w14:paraId="2450596C" w14:textId="77777777" w:rsidR="000067BE" w:rsidRDefault="000067BE" w:rsidP="000067BE"/>
          <w:p w14:paraId="39834DF7" w14:textId="77777777" w:rsidR="000067BE" w:rsidRDefault="000067BE" w:rsidP="000067BE"/>
          <w:p w14:paraId="7D52CC60" w14:textId="77777777" w:rsidR="000067BE" w:rsidRDefault="000067BE" w:rsidP="000067BE"/>
          <w:p w14:paraId="6C77824C" w14:textId="77777777" w:rsidR="000067BE" w:rsidRDefault="000067BE" w:rsidP="000067BE"/>
          <w:p w14:paraId="3FCE8E87" w14:textId="77777777" w:rsidR="000067BE" w:rsidRDefault="000067BE" w:rsidP="000067BE"/>
          <w:p w14:paraId="22652604" w14:textId="77777777" w:rsidR="000067BE" w:rsidRPr="00912BCB" w:rsidRDefault="000067BE" w:rsidP="000067BE"/>
        </w:tc>
      </w:tr>
      <w:tr w:rsidR="000067BE" w:rsidRPr="00912BCB" w14:paraId="52FC93F7" w14:textId="77777777" w:rsidTr="000D0D40">
        <w:tc>
          <w:tcPr>
            <w:tcW w:w="2070" w:type="dxa"/>
          </w:tcPr>
          <w:p w14:paraId="75777812" w14:textId="0DDE3347" w:rsidR="000067BE" w:rsidRPr="00912BCB" w:rsidRDefault="000067BE" w:rsidP="000067BE">
            <w:r w:rsidRPr="00912BCB">
              <w:t>1</w:t>
            </w:r>
            <w:r w:rsidR="00710D14">
              <w:t>8</w:t>
            </w:r>
            <w:r w:rsidRPr="00912BCB">
              <w:t>. Adjournment</w:t>
            </w:r>
          </w:p>
        </w:tc>
        <w:tc>
          <w:tcPr>
            <w:tcW w:w="1606" w:type="dxa"/>
          </w:tcPr>
          <w:p w14:paraId="03464E0B" w14:textId="29F62D16" w:rsidR="000067BE" w:rsidRPr="00912BCB" w:rsidRDefault="008E76FE" w:rsidP="000067BE">
            <w:r w:rsidRPr="008E76FE">
              <w:t xml:space="preserve">Jarrod Becasen </w:t>
            </w:r>
          </w:p>
        </w:tc>
        <w:tc>
          <w:tcPr>
            <w:tcW w:w="8399" w:type="dxa"/>
          </w:tcPr>
          <w:p w14:paraId="764D92AB" w14:textId="77777777" w:rsidR="000067BE" w:rsidRDefault="000067BE" w:rsidP="000067BE">
            <w:r>
              <w:t xml:space="preserve">TIME:   </w:t>
            </w:r>
            <w:r w:rsidR="008E76FE">
              <w:t>1348</w:t>
            </w:r>
          </w:p>
          <w:p w14:paraId="04B8A4C7" w14:textId="4E7B969B" w:rsidR="000D0D40" w:rsidRPr="00912BCB" w:rsidRDefault="000D0D40" w:rsidP="000067BE"/>
        </w:tc>
        <w:tc>
          <w:tcPr>
            <w:tcW w:w="2315" w:type="dxa"/>
          </w:tcPr>
          <w:p w14:paraId="13C3A0CD" w14:textId="416A78A5" w:rsidR="000D0D40" w:rsidRPr="00912BCB" w:rsidRDefault="000F05FD" w:rsidP="000D0D40">
            <w:r>
              <w:t>None</w:t>
            </w:r>
          </w:p>
        </w:tc>
      </w:tr>
    </w:tbl>
    <w:p w14:paraId="7BB554E9" w14:textId="180EC479" w:rsidR="0016781C" w:rsidRDefault="0016781C" w:rsidP="00A726F7"/>
    <w:p w14:paraId="099403AB" w14:textId="0E5D62F5" w:rsidR="00891A21" w:rsidRDefault="00891A21" w:rsidP="00A726F7"/>
    <w:p w14:paraId="2FAA0E72" w14:textId="1E3F2D8D" w:rsidR="00891A21" w:rsidRDefault="00002F03" w:rsidP="00A726F7">
      <w:r>
        <w:rPr>
          <w:noProof/>
        </w:rPr>
        <w:drawing>
          <wp:inline distT="0" distB="0" distL="0" distR="0" wp14:anchorId="78C345E6" wp14:editId="1441F0A9">
            <wp:extent cx="9067800" cy="70227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4903" cy="70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A21" w:rsidSect="000C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26"/>
    <w:multiLevelType w:val="hybridMultilevel"/>
    <w:tmpl w:val="8D683A24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E57"/>
    <w:multiLevelType w:val="hybridMultilevel"/>
    <w:tmpl w:val="560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F6F"/>
    <w:multiLevelType w:val="hybridMultilevel"/>
    <w:tmpl w:val="0F04924C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1249"/>
    <w:multiLevelType w:val="hybridMultilevel"/>
    <w:tmpl w:val="B05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BCB"/>
    <w:multiLevelType w:val="hybridMultilevel"/>
    <w:tmpl w:val="D9DC8410"/>
    <w:lvl w:ilvl="0" w:tplc="FFFFFFFF">
      <w:start w:val="1"/>
      <w:numFmt w:val="decimal"/>
      <w:lvlText w:val="%1."/>
      <w:lvlJc w:val="left"/>
      <w:pPr>
        <w:ind w:left="1201" w:hanging="360"/>
      </w:pPr>
    </w:lvl>
    <w:lvl w:ilvl="1" w:tplc="FFFFFFFF" w:tentative="1">
      <w:start w:val="1"/>
      <w:numFmt w:val="lowerLetter"/>
      <w:lvlText w:val="%2."/>
      <w:lvlJc w:val="left"/>
      <w:pPr>
        <w:ind w:left="1921" w:hanging="360"/>
      </w:pPr>
    </w:lvl>
    <w:lvl w:ilvl="2" w:tplc="FFFFFFFF" w:tentative="1">
      <w:start w:val="1"/>
      <w:numFmt w:val="lowerRoman"/>
      <w:lvlText w:val="%3."/>
      <w:lvlJc w:val="right"/>
      <w:pPr>
        <w:ind w:left="2641" w:hanging="180"/>
      </w:pPr>
    </w:lvl>
    <w:lvl w:ilvl="3" w:tplc="FFFFFFFF" w:tentative="1">
      <w:start w:val="1"/>
      <w:numFmt w:val="decimal"/>
      <w:lvlText w:val="%4."/>
      <w:lvlJc w:val="left"/>
      <w:pPr>
        <w:ind w:left="3361" w:hanging="360"/>
      </w:pPr>
    </w:lvl>
    <w:lvl w:ilvl="4" w:tplc="FFFFFFFF" w:tentative="1">
      <w:start w:val="1"/>
      <w:numFmt w:val="lowerLetter"/>
      <w:lvlText w:val="%5."/>
      <w:lvlJc w:val="left"/>
      <w:pPr>
        <w:ind w:left="4081" w:hanging="360"/>
      </w:pPr>
    </w:lvl>
    <w:lvl w:ilvl="5" w:tplc="FFFFFFFF" w:tentative="1">
      <w:start w:val="1"/>
      <w:numFmt w:val="lowerRoman"/>
      <w:lvlText w:val="%6."/>
      <w:lvlJc w:val="right"/>
      <w:pPr>
        <w:ind w:left="4801" w:hanging="180"/>
      </w:pPr>
    </w:lvl>
    <w:lvl w:ilvl="6" w:tplc="FFFFFFFF" w:tentative="1">
      <w:start w:val="1"/>
      <w:numFmt w:val="decimal"/>
      <w:lvlText w:val="%7."/>
      <w:lvlJc w:val="left"/>
      <w:pPr>
        <w:ind w:left="5521" w:hanging="360"/>
      </w:pPr>
    </w:lvl>
    <w:lvl w:ilvl="7" w:tplc="FFFFFFFF" w:tentative="1">
      <w:start w:val="1"/>
      <w:numFmt w:val="lowerLetter"/>
      <w:lvlText w:val="%8."/>
      <w:lvlJc w:val="left"/>
      <w:pPr>
        <w:ind w:left="6241" w:hanging="360"/>
      </w:pPr>
    </w:lvl>
    <w:lvl w:ilvl="8" w:tplc="FFFFFFFF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D573CAD"/>
    <w:multiLevelType w:val="hybridMultilevel"/>
    <w:tmpl w:val="0788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224"/>
    <w:multiLevelType w:val="hybridMultilevel"/>
    <w:tmpl w:val="3AA41536"/>
    <w:lvl w:ilvl="0" w:tplc="2A380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82D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0CB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AA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26CD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A7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FE4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E88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41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E3458ED"/>
    <w:multiLevelType w:val="hybridMultilevel"/>
    <w:tmpl w:val="C9A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55E2"/>
    <w:multiLevelType w:val="hybridMultilevel"/>
    <w:tmpl w:val="30520116"/>
    <w:lvl w:ilvl="0" w:tplc="FFFFFFF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3D4B1411"/>
    <w:multiLevelType w:val="hybridMultilevel"/>
    <w:tmpl w:val="E9B682C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F15"/>
    <w:multiLevelType w:val="hybridMultilevel"/>
    <w:tmpl w:val="8D1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D0CEC"/>
    <w:multiLevelType w:val="hybridMultilevel"/>
    <w:tmpl w:val="DBF86BC6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74D52"/>
    <w:multiLevelType w:val="hybridMultilevel"/>
    <w:tmpl w:val="C0DE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31AD"/>
    <w:multiLevelType w:val="hybridMultilevel"/>
    <w:tmpl w:val="32DC6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68C1"/>
    <w:multiLevelType w:val="hybridMultilevel"/>
    <w:tmpl w:val="5A4EE13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0228"/>
    <w:multiLevelType w:val="hybridMultilevel"/>
    <w:tmpl w:val="21E2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8A9"/>
    <w:multiLevelType w:val="hybridMultilevel"/>
    <w:tmpl w:val="D9DC8410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7" w15:restartNumberingAfterBreak="0">
    <w:nsid w:val="6ED83545"/>
    <w:multiLevelType w:val="hybridMultilevel"/>
    <w:tmpl w:val="B0B6D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30D6C"/>
    <w:multiLevelType w:val="hybridMultilevel"/>
    <w:tmpl w:val="97A8A73A"/>
    <w:lvl w:ilvl="0" w:tplc="7222EE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 w15:restartNumberingAfterBreak="0">
    <w:nsid w:val="7B525CA8"/>
    <w:multiLevelType w:val="hybridMultilevel"/>
    <w:tmpl w:val="612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5332"/>
    <w:multiLevelType w:val="hybridMultilevel"/>
    <w:tmpl w:val="32D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4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17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C"/>
    <w:rsid w:val="00002F03"/>
    <w:rsid w:val="000067BE"/>
    <w:rsid w:val="0002319B"/>
    <w:rsid w:val="000624A1"/>
    <w:rsid w:val="000C4D24"/>
    <w:rsid w:val="000D0D40"/>
    <w:rsid w:val="000E5021"/>
    <w:rsid w:val="000F05FD"/>
    <w:rsid w:val="001059E7"/>
    <w:rsid w:val="00126E96"/>
    <w:rsid w:val="0016781C"/>
    <w:rsid w:val="00197F40"/>
    <w:rsid w:val="001B1A79"/>
    <w:rsid w:val="001D38CC"/>
    <w:rsid w:val="0020078D"/>
    <w:rsid w:val="00240872"/>
    <w:rsid w:val="00254D1F"/>
    <w:rsid w:val="00277F4A"/>
    <w:rsid w:val="00291637"/>
    <w:rsid w:val="003318A8"/>
    <w:rsid w:val="00335E26"/>
    <w:rsid w:val="00370CDC"/>
    <w:rsid w:val="003F41BF"/>
    <w:rsid w:val="00422784"/>
    <w:rsid w:val="004257DB"/>
    <w:rsid w:val="00446391"/>
    <w:rsid w:val="00452D68"/>
    <w:rsid w:val="004D1D76"/>
    <w:rsid w:val="004D47FA"/>
    <w:rsid w:val="00511AB0"/>
    <w:rsid w:val="00517E9D"/>
    <w:rsid w:val="00534384"/>
    <w:rsid w:val="00535D41"/>
    <w:rsid w:val="005578D2"/>
    <w:rsid w:val="0056120C"/>
    <w:rsid w:val="00595B2F"/>
    <w:rsid w:val="006358E6"/>
    <w:rsid w:val="006468F7"/>
    <w:rsid w:val="006647A1"/>
    <w:rsid w:val="006713A5"/>
    <w:rsid w:val="00710D14"/>
    <w:rsid w:val="00723678"/>
    <w:rsid w:val="00766C7B"/>
    <w:rsid w:val="00773E3D"/>
    <w:rsid w:val="007963FD"/>
    <w:rsid w:val="007A223F"/>
    <w:rsid w:val="007C717C"/>
    <w:rsid w:val="008502B7"/>
    <w:rsid w:val="008708C6"/>
    <w:rsid w:val="0088068E"/>
    <w:rsid w:val="00891A21"/>
    <w:rsid w:val="008A0D47"/>
    <w:rsid w:val="008E76FE"/>
    <w:rsid w:val="008F4BCC"/>
    <w:rsid w:val="00912BCB"/>
    <w:rsid w:val="009462D1"/>
    <w:rsid w:val="00967323"/>
    <w:rsid w:val="0097510B"/>
    <w:rsid w:val="0097664E"/>
    <w:rsid w:val="009954B6"/>
    <w:rsid w:val="009A18FD"/>
    <w:rsid w:val="009E3E41"/>
    <w:rsid w:val="00A100DE"/>
    <w:rsid w:val="00A30028"/>
    <w:rsid w:val="00A42BBE"/>
    <w:rsid w:val="00A4325C"/>
    <w:rsid w:val="00A503F9"/>
    <w:rsid w:val="00A5672D"/>
    <w:rsid w:val="00A70C9E"/>
    <w:rsid w:val="00A726F7"/>
    <w:rsid w:val="00A97BBD"/>
    <w:rsid w:val="00AA2CEB"/>
    <w:rsid w:val="00AD3E2A"/>
    <w:rsid w:val="00AD61B3"/>
    <w:rsid w:val="00AE40A0"/>
    <w:rsid w:val="00B14217"/>
    <w:rsid w:val="00B910D7"/>
    <w:rsid w:val="00BB7954"/>
    <w:rsid w:val="00C4605D"/>
    <w:rsid w:val="00C66C95"/>
    <w:rsid w:val="00C73C1A"/>
    <w:rsid w:val="00CA68DE"/>
    <w:rsid w:val="00CB4245"/>
    <w:rsid w:val="00CC2EA8"/>
    <w:rsid w:val="00CC3D65"/>
    <w:rsid w:val="00CC5057"/>
    <w:rsid w:val="00D2232C"/>
    <w:rsid w:val="00D51428"/>
    <w:rsid w:val="00D855D8"/>
    <w:rsid w:val="00D86105"/>
    <w:rsid w:val="00D863B0"/>
    <w:rsid w:val="00D953E8"/>
    <w:rsid w:val="00DC0140"/>
    <w:rsid w:val="00DD0086"/>
    <w:rsid w:val="00DE0D34"/>
    <w:rsid w:val="00E13F7C"/>
    <w:rsid w:val="00E54C28"/>
    <w:rsid w:val="00E56110"/>
    <w:rsid w:val="00E918EC"/>
    <w:rsid w:val="00E97A34"/>
    <w:rsid w:val="00EF1A81"/>
    <w:rsid w:val="00F018C6"/>
    <w:rsid w:val="00F04ADD"/>
    <w:rsid w:val="00F2494E"/>
    <w:rsid w:val="00F3500D"/>
    <w:rsid w:val="00F517D9"/>
    <w:rsid w:val="00F67650"/>
    <w:rsid w:val="00F819BD"/>
    <w:rsid w:val="00F83A28"/>
    <w:rsid w:val="00F845E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BC69"/>
  <w15:docId w15:val="{5D5743BF-EB21-4606-8325-80234E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pic.org/cacc/events/meeting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mmunity.apic.org/cacc/events/meetings" TargetMode="External"/><Relationship Id="rId12" Type="http://schemas.openxmlformats.org/officeDocument/2006/relationships/hyperlink" Target="https://apic.zoom.us/j/87860069121?pwd=K290OE5hQmpmVUxXWGptS1NJc0d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apic.org/cacc/home/board" TargetMode="External"/><Relationship Id="rId11" Type="http://schemas.openxmlformats.org/officeDocument/2006/relationships/hyperlink" Target="https://forms.fbi.gov/fbi-cdc-joint-criminal-epidemiologic-investigations-workshop-san-diego-ca" TargetMode="External"/><Relationship Id="rId5" Type="http://schemas.openxmlformats.org/officeDocument/2006/relationships/hyperlink" Target="https://community.apic.org/cacc/home/boa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dcms.org/about-sdcms/committees-commissions/sdcms-germ-commiss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a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Cavaness, Patricia</dc:creator>
  <cp:lastModifiedBy>Becasen, Jarrod</cp:lastModifiedBy>
  <cp:revision>2</cp:revision>
  <cp:lastPrinted>2015-05-13T17:53:00Z</cp:lastPrinted>
  <dcterms:created xsi:type="dcterms:W3CDTF">2023-02-02T15:22:00Z</dcterms:created>
  <dcterms:modified xsi:type="dcterms:W3CDTF">2023-02-02T15:22:00Z</dcterms:modified>
</cp:coreProperties>
</file>